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917A4">
      <w:pPr>
        <w:pStyle w:val="3"/>
        <w:adjustRightInd w:val="0"/>
        <w:snapToGrid w:val="0"/>
        <w:spacing w:before="120" w:beforeLines="50" w:after="120" w:afterLines="50" w:line="360" w:lineRule="auto"/>
        <w:jc w:val="both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附件1：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/>
        </w:rPr>
        <w:t>《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评分细则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/>
        </w:rPr>
        <w:t>》</w:t>
      </w:r>
    </w:p>
    <w:p w14:paraId="6850AEA3">
      <w:pPr>
        <w:pStyle w:val="4"/>
        <w:jc w:val="center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评分细则</w:t>
      </w:r>
    </w:p>
    <w:p w14:paraId="05F9963A">
      <w:pPr>
        <w:rPr>
          <w:rFonts w:hint="eastAsia"/>
        </w:rPr>
      </w:pPr>
    </w:p>
    <w:p w14:paraId="581BBD68">
      <w:pPr>
        <w:pStyle w:val="2"/>
        <w:rPr>
          <w:rFonts w:hint="default" w:ascii="Times New Roman" w:hAnsi="Times New Roman"/>
          <w:color w:val="auto"/>
        </w:rPr>
      </w:pPr>
      <w:r>
        <w:rPr>
          <w:rFonts w:hint="default" w:ascii="Times New Roman"/>
          <w:color w:val="auto"/>
        </w:rPr>
        <w:t>报价单位：</w:t>
      </w:r>
      <w:r>
        <w:rPr>
          <w:rFonts w:hint="default" w:ascii="Times New Roman" w:hAnsi="Times New Roman"/>
          <w:color w:val="auto"/>
        </w:rPr>
        <w:t xml:space="preserve">                                         </w:t>
      </w:r>
      <w:r>
        <w:rPr>
          <w:rFonts w:hint="eastAsia" w:ascii="Times New Roman" w:hAnsi="Times New Roman"/>
          <w:color w:val="auto"/>
          <w:lang w:val="en-US" w:eastAsia="zh-CN"/>
        </w:rPr>
        <w:t xml:space="preserve">       </w:t>
      </w:r>
      <w:r>
        <w:rPr>
          <w:rFonts w:hint="default" w:ascii="Times New Roman"/>
          <w:color w:val="auto"/>
        </w:rPr>
        <w:t>日期：</w:t>
      </w:r>
      <w:r>
        <w:rPr>
          <w:rFonts w:hint="default" w:ascii="Times New Roman" w:hAnsi="Times New Roman"/>
          <w:color w:val="auto"/>
        </w:rPr>
        <w:t xml:space="preserve"> </w:t>
      </w:r>
    </w:p>
    <w:tbl>
      <w:tblPr>
        <w:tblStyle w:val="8"/>
        <w:tblW w:w="10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810"/>
        <w:gridCol w:w="883"/>
        <w:gridCol w:w="5637"/>
        <w:gridCol w:w="1025"/>
      </w:tblGrid>
      <w:tr w14:paraId="00017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958" w:type="dxa"/>
            <w:noWrap w:val="0"/>
            <w:vAlign w:val="center"/>
          </w:tcPr>
          <w:p w14:paraId="5EF82EC2">
            <w:pPr>
              <w:pStyle w:val="7"/>
              <w:spacing w:line="0" w:lineRule="atLeast"/>
              <w:jc w:val="center"/>
              <w:rPr>
                <w:color w:val="auto"/>
                <w:sz w:val="24"/>
              </w:rPr>
            </w:pPr>
            <w:r>
              <w:rPr>
                <w:rFonts w:hAnsi="黑体" w:eastAsia="黑体"/>
                <w:color w:val="auto"/>
                <w:sz w:val="24"/>
              </w:rPr>
              <w:t>序号</w:t>
            </w:r>
          </w:p>
        </w:tc>
        <w:tc>
          <w:tcPr>
            <w:tcW w:w="1810" w:type="dxa"/>
            <w:noWrap w:val="0"/>
            <w:vAlign w:val="center"/>
          </w:tcPr>
          <w:p w14:paraId="4201047F">
            <w:pPr>
              <w:pStyle w:val="7"/>
              <w:spacing w:line="0" w:lineRule="atLeast"/>
              <w:jc w:val="center"/>
              <w:rPr>
                <w:color w:val="auto"/>
                <w:sz w:val="24"/>
              </w:rPr>
            </w:pPr>
            <w:r>
              <w:rPr>
                <w:rFonts w:hAnsi="黑体" w:eastAsia="黑体"/>
                <w:color w:val="auto"/>
                <w:sz w:val="24"/>
              </w:rPr>
              <w:t>评标内容</w:t>
            </w:r>
          </w:p>
        </w:tc>
        <w:tc>
          <w:tcPr>
            <w:tcW w:w="883" w:type="dxa"/>
            <w:noWrap w:val="0"/>
            <w:vAlign w:val="center"/>
          </w:tcPr>
          <w:p w14:paraId="7221ACCC">
            <w:pPr>
              <w:pStyle w:val="7"/>
              <w:spacing w:line="0" w:lineRule="atLeast"/>
              <w:jc w:val="center"/>
              <w:rPr>
                <w:color w:val="auto"/>
                <w:sz w:val="24"/>
              </w:rPr>
            </w:pPr>
            <w:r>
              <w:rPr>
                <w:rFonts w:hAnsi="黑体" w:eastAsia="黑体"/>
                <w:color w:val="auto"/>
                <w:sz w:val="24"/>
              </w:rPr>
              <w:t>分值</w:t>
            </w:r>
          </w:p>
        </w:tc>
        <w:tc>
          <w:tcPr>
            <w:tcW w:w="5637" w:type="dxa"/>
            <w:noWrap w:val="0"/>
            <w:vAlign w:val="center"/>
          </w:tcPr>
          <w:p w14:paraId="70ECCF96">
            <w:pPr>
              <w:pStyle w:val="7"/>
              <w:spacing w:line="0" w:lineRule="atLeast"/>
              <w:jc w:val="center"/>
              <w:rPr>
                <w:color w:val="auto"/>
                <w:sz w:val="24"/>
              </w:rPr>
            </w:pPr>
            <w:r>
              <w:rPr>
                <w:rFonts w:hAnsi="黑体" w:eastAsia="黑体"/>
                <w:color w:val="auto"/>
                <w:sz w:val="24"/>
              </w:rPr>
              <w:t>评分标准</w:t>
            </w:r>
          </w:p>
        </w:tc>
        <w:tc>
          <w:tcPr>
            <w:tcW w:w="1025" w:type="dxa"/>
            <w:noWrap w:val="0"/>
            <w:vAlign w:val="center"/>
          </w:tcPr>
          <w:p w14:paraId="5C35C0E6">
            <w:pPr>
              <w:pStyle w:val="7"/>
              <w:spacing w:line="0" w:lineRule="atLeast"/>
              <w:jc w:val="center"/>
              <w:rPr>
                <w:color w:val="auto"/>
                <w:sz w:val="24"/>
              </w:rPr>
            </w:pPr>
            <w:r>
              <w:rPr>
                <w:rFonts w:hAnsi="黑体" w:eastAsia="黑体"/>
                <w:color w:val="auto"/>
                <w:sz w:val="24"/>
              </w:rPr>
              <w:t>评分</w:t>
            </w:r>
          </w:p>
        </w:tc>
      </w:tr>
      <w:tr w14:paraId="3B95E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958" w:type="dxa"/>
            <w:noWrap w:val="0"/>
            <w:vAlign w:val="center"/>
          </w:tcPr>
          <w:p w14:paraId="76F9FA4D">
            <w:pPr>
              <w:spacing w:line="320" w:lineRule="exact"/>
              <w:jc w:val="center"/>
              <w:rPr>
                <w:color w:val="auto"/>
                <w:sz w:val="24"/>
              </w:rPr>
            </w:pPr>
            <w:r>
              <w:rPr>
                <w:rFonts w:ascii="Times New Roman" w:eastAsia="仿宋_GB2312"/>
                <w:color w:val="auto"/>
                <w:sz w:val="24"/>
              </w:rPr>
              <w:t>一</w:t>
            </w:r>
          </w:p>
        </w:tc>
        <w:tc>
          <w:tcPr>
            <w:tcW w:w="1810" w:type="dxa"/>
            <w:noWrap w:val="0"/>
            <w:vAlign w:val="center"/>
          </w:tcPr>
          <w:p w14:paraId="0F6234F0">
            <w:pPr>
              <w:spacing w:line="320" w:lineRule="exact"/>
              <w:jc w:val="center"/>
              <w:rPr>
                <w:color w:val="auto"/>
                <w:sz w:val="24"/>
              </w:rPr>
            </w:pPr>
            <w:r>
              <w:rPr>
                <w:rFonts w:ascii="Times New Roman" w:eastAsia="仿宋_GB2312"/>
                <w:color w:val="auto"/>
                <w:sz w:val="24"/>
              </w:rPr>
              <w:t>报价</w:t>
            </w:r>
          </w:p>
        </w:tc>
        <w:tc>
          <w:tcPr>
            <w:tcW w:w="883" w:type="dxa"/>
            <w:noWrap w:val="0"/>
            <w:vAlign w:val="center"/>
          </w:tcPr>
          <w:p w14:paraId="46FCD416">
            <w:pPr>
              <w:spacing w:line="320" w:lineRule="exact"/>
              <w:jc w:val="center"/>
              <w:rPr>
                <w:rFonts w:hint="default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40</w:t>
            </w:r>
          </w:p>
        </w:tc>
        <w:tc>
          <w:tcPr>
            <w:tcW w:w="5637" w:type="dxa"/>
            <w:noWrap w:val="0"/>
            <w:vAlign w:val="center"/>
          </w:tcPr>
          <w:p w14:paraId="2F4AD1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color w:val="auto"/>
                <w:sz w:val="24"/>
              </w:rPr>
            </w:pPr>
            <w:r>
              <w:rPr>
                <w:rFonts w:ascii="Times New Roman" w:eastAsia="仿宋_GB2312"/>
                <w:color w:val="auto"/>
                <w:sz w:val="24"/>
              </w:rPr>
              <w:t>报价平均值为评标基准价，其他投标报价与其相比（差值）每下浮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1%</w:t>
            </w:r>
            <w:r>
              <w:rPr>
                <w:rFonts w:ascii="Times New Roman" w:eastAsia="仿宋_GB2312"/>
                <w:color w:val="auto"/>
                <w:sz w:val="24"/>
              </w:rPr>
              <w:t>扣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0.5</w:t>
            </w:r>
            <w:r>
              <w:rPr>
                <w:rFonts w:ascii="Times New Roman" w:eastAsia="仿宋_GB2312"/>
                <w:color w:val="auto"/>
                <w:sz w:val="24"/>
              </w:rPr>
              <w:t>分，每上浮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1%</w:t>
            </w:r>
            <w:r>
              <w:rPr>
                <w:rFonts w:ascii="Times New Roman" w:eastAsia="仿宋_GB2312"/>
                <w:color w:val="auto"/>
                <w:sz w:val="24"/>
              </w:rPr>
              <w:t>扣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1</w:t>
            </w:r>
            <w:r>
              <w:rPr>
                <w:rFonts w:ascii="Times New Roman" w:eastAsia="仿宋_GB2312"/>
                <w:color w:val="auto"/>
                <w:sz w:val="24"/>
              </w:rPr>
              <w:t>分，分数扣完为止。（超过拦标价不参与评标基准价计算）</w:t>
            </w:r>
          </w:p>
        </w:tc>
        <w:tc>
          <w:tcPr>
            <w:tcW w:w="1025" w:type="dxa"/>
            <w:noWrap w:val="0"/>
            <w:vAlign w:val="center"/>
          </w:tcPr>
          <w:p w14:paraId="351FCC85">
            <w:pPr>
              <w:spacing w:line="320" w:lineRule="exact"/>
              <w:jc w:val="center"/>
              <w:rPr>
                <w:color w:val="auto"/>
                <w:sz w:val="24"/>
              </w:rPr>
            </w:pPr>
          </w:p>
        </w:tc>
      </w:tr>
      <w:tr w14:paraId="30F55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6" w:hRule="atLeast"/>
          <w:jc w:val="center"/>
        </w:trPr>
        <w:tc>
          <w:tcPr>
            <w:tcW w:w="958" w:type="dxa"/>
            <w:noWrap w:val="0"/>
            <w:vAlign w:val="center"/>
          </w:tcPr>
          <w:p w14:paraId="010C51C5">
            <w:pPr>
              <w:spacing w:line="320" w:lineRule="exact"/>
              <w:jc w:val="center"/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二</w:t>
            </w:r>
          </w:p>
        </w:tc>
        <w:tc>
          <w:tcPr>
            <w:tcW w:w="1810" w:type="dxa"/>
            <w:noWrap w:val="0"/>
            <w:vAlign w:val="center"/>
          </w:tcPr>
          <w:p w14:paraId="790C8B1C">
            <w:pPr>
              <w:spacing w:line="320" w:lineRule="exact"/>
              <w:jc w:val="center"/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服务方案</w:t>
            </w:r>
          </w:p>
        </w:tc>
        <w:tc>
          <w:tcPr>
            <w:tcW w:w="883" w:type="dxa"/>
            <w:noWrap w:val="0"/>
            <w:vAlign w:val="center"/>
          </w:tcPr>
          <w:p w14:paraId="4BEB2EE7">
            <w:pPr>
              <w:spacing w:line="320" w:lineRule="exact"/>
              <w:jc w:val="center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40</w:t>
            </w:r>
          </w:p>
        </w:tc>
        <w:tc>
          <w:tcPr>
            <w:tcW w:w="5637" w:type="dxa"/>
            <w:noWrap w:val="0"/>
            <w:vAlign w:val="center"/>
          </w:tcPr>
          <w:p w14:paraId="2F2CEC92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firstLine="0"/>
              <w:jc w:val="both"/>
              <w:textAlignment w:val="auto"/>
              <w:rPr>
                <w:rFonts w:hint="default" w:ascii="Times New Roman" w:eastAsia="仿宋_GB2312" w:hAnsiTheme="minorHAnsi" w:cstheme="minorBidi"/>
                <w:color w:val="auto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eastAsia="仿宋_GB2312" w:hAnsiTheme="minorHAnsi" w:cstheme="minorBidi"/>
                <w:color w:val="auto"/>
                <w:sz w:val="24"/>
                <w:szCs w:val="22"/>
                <w:lang w:val="en-US" w:eastAsia="zh-CN" w:bidi="ar-SA"/>
              </w:rPr>
              <w:t>对起诉案件的法律服务有具体的工作部署和安排：</w:t>
            </w:r>
          </w:p>
          <w:p w14:paraId="76ED86CF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firstLine="0"/>
              <w:jc w:val="both"/>
              <w:textAlignment w:val="auto"/>
              <w:rPr>
                <w:rFonts w:hint="default" w:ascii="Times New Roman" w:eastAsia="仿宋_GB2312" w:hAnsiTheme="minorHAnsi" w:cstheme="minorBidi"/>
                <w:color w:val="auto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eastAsia="仿宋_GB2312" w:hAnsiTheme="minorHAnsi" w:cstheme="minorBidi"/>
                <w:color w:val="auto"/>
                <w:sz w:val="24"/>
                <w:szCs w:val="22"/>
                <w:lang w:val="en-US" w:eastAsia="zh-CN" w:bidi="ar-SA"/>
              </w:rPr>
              <w:t>1.对项目理解阐述较为详细具体，重点和难点问题认识清楚，有非常充分的工作部署和安排且针对性较强的，得25-</w:t>
            </w:r>
            <w:r>
              <w:rPr>
                <w:rFonts w:hint="eastAsia" w:ascii="Times New Roman" w:eastAsia="仿宋_GB2312" w:hAnsiTheme="minorHAnsi" w:cstheme="minorBidi"/>
                <w:color w:val="auto"/>
                <w:sz w:val="24"/>
                <w:szCs w:val="22"/>
                <w:lang w:val="en-US" w:eastAsia="zh-CN" w:bidi="ar-SA"/>
              </w:rPr>
              <w:t>40</w:t>
            </w:r>
            <w:r>
              <w:rPr>
                <w:rFonts w:hint="default" w:ascii="Times New Roman" w:eastAsia="仿宋_GB2312" w:hAnsiTheme="minorHAnsi" w:cstheme="minorBidi"/>
                <w:color w:val="auto"/>
                <w:sz w:val="24"/>
                <w:szCs w:val="22"/>
                <w:lang w:val="en-US" w:eastAsia="zh-CN" w:bidi="ar-SA"/>
              </w:rPr>
              <w:t>分；</w:t>
            </w:r>
          </w:p>
          <w:p w14:paraId="17AEABD2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firstLine="0"/>
              <w:jc w:val="both"/>
              <w:textAlignment w:val="auto"/>
              <w:rPr>
                <w:rFonts w:hint="default" w:ascii="Times New Roman" w:eastAsia="仿宋_GB2312" w:hAnsiTheme="minorHAnsi" w:cstheme="minorBidi"/>
                <w:color w:val="auto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eastAsia="仿宋_GB2312" w:hAnsiTheme="minorHAnsi" w:cstheme="minorBidi"/>
                <w:color w:val="auto"/>
                <w:sz w:val="24"/>
                <w:szCs w:val="22"/>
                <w:lang w:val="en-US" w:eastAsia="zh-CN" w:bidi="ar-SA"/>
              </w:rPr>
              <w:t>2.对项目理解阐述基本合理，对重难点问题有一定认识，有较为充分的工作部署和安排但针对性一般的，得13-</w:t>
            </w:r>
            <w:r>
              <w:rPr>
                <w:rFonts w:hint="eastAsia" w:ascii="Times New Roman" w:eastAsia="仿宋_GB2312" w:hAnsiTheme="minorHAnsi" w:cstheme="minorBidi"/>
                <w:color w:val="auto"/>
                <w:sz w:val="24"/>
                <w:szCs w:val="22"/>
                <w:lang w:val="en-US" w:eastAsia="zh-CN" w:bidi="ar-SA"/>
              </w:rPr>
              <w:t>30</w:t>
            </w:r>
            <w:r>
              <w:rPr>
                <w:rFonts w:hint="default" w:ascii="Times New Roman" w:eastAsia="仿宋_GB2312" w:hAnsiTheme="minorHAnsi" w:cstheme="minorBidi"/>
                <w:color w:val="auto"/>
                <w:sz w:val="24"/>
                <w:szCs w:val="22"/>
                <w:lang w:val="en-US" w:eastAsia="zh-CN" w:bidi="ar-SA"/>
              </w:rPr>
              <w:t>分</w:t>
            </w:r>
          </w:p>
          <w:p w14:paraId="6FDF1569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firstLine="0"/>
              <w:jc w:val="both"/>
              <w:textAlignment w:val="auto"/>
              <w:rPr>
                <w:rFonts w:hint="default" w:ascii="Times New Roman" w:eastAsia="仿宋_GB2312" w:hAnsiTheme="minorHAnsi" w:cstheme="minorBidi"/>
                <w:color w:val="auto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eastAsia="仿宋_GB2312" w:hAnsiTheme="minorHAnsi" w:cstheme="minorBidi"/>
                <w:color w:val="auto"/>
                <w:sz w:val="24"/>
                <w:szCs w:val="22"/>
                <w:lang w:val="en-US" w:eastAsia="zh-CN" w:bidi="ar-SA"/>
              </w:rPr>
              <w:t>3.对项目理解阐述不全面，对重难点问题认识不到位，可实施性较弱，且针对性不强的，得0-</w:t>
            </w:r>
            <w:r>
              <w:rPr>
                <w:rFonts w:hint="eastAsia" w:ascii="Times New Roman" w:eastAsia="仿宋_GB2312" w:hAnsiTheme="minorHAnsi" w:cstheme="minorBidi"/>
                <w:color w:val="auto"/>
                <w:sz w:val="24"/>
                <w:szCs w:val="22"/>
                <w:lang w:val="en-US" w:eastAsia="zh-CN" w:bidi="ar-SA"/>
              </w:rPr>
              <w:t>13</w:t>
            </w:r>
            <w:r>
              <w:rPr>
                <w:rFonts w:hint="default" w:ascii="Times New Roman" w:eastAsia="仿宋_GB2312" w:hAnsiTheme="minorHAnsi" w:cstheme="minorBidi"/>
                <w:color w:val="auto"/>
                <w:sz w:val="24"/>
                <w:szCs w:val="22"/>
                <w:lang w:val="en-US" w:eastAsia="zh-CN" w:bidi="ar-SA"/>
              </w:rPr>
              <w:t>分。</w:t>
            </w:r>
          </w:p>
          <w:p w14:paraId="2BF1D2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jc w:val="both"/>
              <w:textAlignment w:val="auto"/>
              <w:rPr>
                <w:rFonts w:ascii="Times New Roman" w:eastAsia="仿宋_GB2312"/>
                <w:color w:val="auto"/>
                <w:sz w:val="24"/>
              </w:rPr>
            </w:pPr>
            <w:r>
              <w:rPr>
                <w:rFonts w:hint="default" w:ascii="Times New Roman" w:eastAsia="仿宋_GB2312" w:hAnsiTheme="minorHAnsi" w:cstheme="minorBidi"/>
                <w:color w:val="auto"/>
                <w:sz w:val="24"/>
                <w:szCs w:val="22"/>
                <w:lang w:val="en-US" w:eastAsia="zh-CN" w:bidi="ar-SA"/>
              </w:rPr>
              <w:t>4.无服务方案叙述的不得分。</w:t>
            </w:r>
          </w:p>
        </w:tc>
        <w:tc>
          <w:tcPr>
            <w:tcW w:w="1025" w:type="dxa"/>
            <w:noWrap w:val="0"/>
            <w:vAlign w:val="center"/>
          </w:tcPr>
          <w:p w14:paraId="6DC6D5B5">
            <w:pPr>
              <w:spacing w:line="320" w:lineRule="exact"/>
              <w:jc w:val="center"/>
              <w:rPr>
                <w:color w:val="auto"/>
                <w:sz w:val="24"/>
              </w:rPr>
            </w:pPr>
          </w:p>
        </w:tc>
      </w:tr>
      <w:tr w14:paraId="6EA31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958" w:type="dxa"/>
            <w:noWrap w:val="0"/>
            <w:vAlign w:val="center"/>
          </w:tcPr>
          <w:p w14:paraId="1549509A">
            <w:pPr>
              <w:spacing w:line="320" w:lineRule="exact"/>
              <w:jc w:val="center"/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三</w:t>
            </w:r>
          </w:p>
        </w:tc>
        <w:tc>
          <w:tcPr>
            <w:tcW w:w="1810" w:type="dxa"/>
            <w:noWrap w:val="0"/>
            <w:vAlign w:val="center"/>
          </w:tcPr>
          <w:p w14:paraId="3C76C2FE">
            <w:pPr>
              <w:spacing w:line="320" w:lineRule="exact"/>
              <w:jc w:val="center"/>
              <w:rPr>
                <w:rFonts w:ascii="Times New Roman" w:eastAsia="仿宋_GB2312"/>
                <w:color w:val="auto"/>
                <w:sz w:val="24"/>
              </w:rPr>
            </w:pPr>
            <w:r>
              <w:rPr>
                <w:rFonts w:hint="eastAsia" w:ascii="Times New Roman" w:eastAsia="仿宋_GB2312"/>
                <w:color w:val="auto"/>
                <w:sz w:val="24"/>
              </w:rPr>
              <w:t>类似项目业绩</w:t>
            </w:r>
          </w:p>
        </w:tc>
        <w:tc>
          <w:tcPr>
            <w:tcW w:w="883" w:type="dxa"/>
            <w:noWrap w:val="0"/>
            <w:vAlign w:val="center"/>
          </w:tcPr>
          <w:p w14:paraId="6A706290">
            <w:pPr>
              <w:spacing w:line="320" w:lineRule="exact"/>
              <w:jc w:val="center"/>
              <w:rPr>
                <w:rFonts w:hint="default" w:ascii="Times New Roman" w:eastAsia="仿宋_GB2312"/>
                <w:color w:val="auto"/>
                <w:sz w:val="24"/>
                <w:lang w:val="en-US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10</w:t>
            </w:r>
          </w:p>
        </w:tc>
        <w:tc>
          <w:tcPr>
            <w:tcW w:w="5637" w:type="dxa"/>
            <w:noWrap w:val="0"/>
            <w:vAlign w:val="center"/>
          </w:tcPr>
          <w:p w14:paraId="4B318943">
            <w:pPr>
              <w:pStyle w:val="10"/>
              <w:spacing w:line="240" w:lineRule="auto"/>
              <w:ind w:firstLine="0"/>
              <w:rPr>
                <w:rFonts w:hint="default" w:ascii="Times New Roman" w:hAnsi="Times New Roman" w:cs="Times New Roman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2022年至今承接过国企类似诉</w:t>
            </w:r>
            <w:r>
              <w:rPr>
                <w:rFonts w:hint="eastAsia" w:ascii="Times New Roman" w:hAnsi="宋体" w:eastAsia="仿宋_GB2312" w:cs="宋体"/>
                <w:color w:val="auto"/>
                <w:sz w:val="24"/>
                <w:lang w:val="en-US" w:eastAsia="zh-CN"/>
              </w:rPr>
              <w:t>讼</w:t>
            </w:r>
            <w:r>
              <w:rPr>
                <w:rFonts w:hint="default" w:ascii="Times New Roman" w:hAnsi="宋体" w:eastAsia="仿宋_GB2312" w:cs="宋体"/>
                <w:color w:val="auto"/>
                <w:sz w:val="24"/>
                <w:lang w:val="en-US" w:eastAsia="zh-CN"/>
              </w:rPr>
              <w:t>代理业绩的</w:t>
            </w: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并提供有效材料证明的每一个业绩得2分，5个以上多出部分不计分，共计10分。</w:t>
            </w:r>
          </w:p>
          <w:p w14:paraId="0BC9C49A">
            <w:pPr>
              <w:spacing w:line="320" w:lineRule="exact"/>
              <w:jc w:val="center"/>
              <w:rPr>
                <w:rFonts w:ascii="Times New Roman" w:eastAsia="仿宋_GB2312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 w:bidi="ar-SA"/>
              </w:rPr>
              <w:t>注：响应人所列出的业绩证明材料，如有弄虚作假，一经查实将导致其响应文件被否决。</w:t>
            </w:r>
          </w:p>
        </w:tc>
        <w:tc>
          <w:tcPr>
            <w:tcW w:w="1025" w:type="dxa"/>
            <w:noWrap w:val="0"/>
            <w:vAlign w:val="center"/>
          </w:tcPr>
          <w:p w14:paraId="51512D3B">
            <w:pPr>
              <w:spacing w:line="320" w:lineRule="exact"/>
              <w:jc w:val="center"/>
              <w:rPr>
                <w:color w:val="auto"/>
                <w:sz w:val="24"/>
              </w:rPr>
            </w:pPr>
          </w:p>
        </w:tc>
      </w:tr>
      <w:tr w14:paraId="255A0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958" w:type="dxa"/>
            <w:noWrap w:val="0"/>
            <w:vAlign w:val="center"/>
          </w:tcPr>
          <w:p w14:paraId="0F7A6DED">
            <w:pPr>
              <w:spacing w:line="320" w:lineRule="exact"/>
              <w:jc w:val="center"/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四</w:t>
            </w:r>
          </w:p>
        </w:tc>
        <w:tc>
          <w:tcPr>
            <w:tcW w:w="1810" w:type="dxa"/>
            <w:noWrap w:val="0"/>
            <w:vAlign w:val="center"/>
          </w:tcPr>
          <w:p w14:paraId="53FB859C">
            <w:pPr>
              <w:spacing w:line="320" w:lineRule="exact"/>
              <w:jc w:val="center"/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投标文件的规范性</w:t>
            </w:r>
          </w:p>
        </w:tc>
        <w:tc>
          <w:tcPr>
            <w:tcW w:w="883" w:type="dxa"/>
            <w:noWrap w:val="0"/>
            <w:vAlign w:val="center"/>
          </w:tcPr>
          <w:p w14:paraId="62475647">
            <w:pPr>
              <w:spacing w:line="320" w:lineRule="exact"/>
              <w:jc w:val="center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10</w:t>
            </w:r>
          </w:p>
        </w:tc>
        <w:tc>
          <w:tcPr>
            <w:tcW w:w="5637" w:type="dxa"/>
            <w:noWrap w:val="0"/>
            <w:vAlign w:val="center"/>
          </w:tcPr>
          <w:p w14:paraId="56A042CB">
            <w:pPr>
              <w:spacing w:line="320" w:lineRule="exact"/>
              <w:jc w:val="center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eastAsia="zh-CN"/>
              </w:rPr>
              <w:t>提供公告（</w:t>
            </w: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第四：材料准备）要求的（一）至（八）</w:t>
            </w:r>
            <w:r>
              <w:rPr>
                <w:rFonts w:hint="eastAsia" w:ascii="Times New Roman" w:eastAsia="仿宋_GB2312"/>
                <w:color w:val="auto"/>
                <w:sz w:val="24"/>
                <w:lang w:eastAsia="zh-CN"/>
              </w:rPr>
              <w:t>所需材料的得</w:t>
            </w: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10分，缺少一项扣2分，上限扣10分。</w:t>
            </w:r>
          </w:p>
        </w:tc>
        <w:tc>
          <w:tcPr>
            <w:tcW w:w="1025" w:type="dxa"/>
            <w:noWrap w:val="0"/>
            <w:vAlign w:val="center"/>
          </w:tcPr>
          <w:p w14:paraId="22CEF896">
            <w:pPr>
              <w:spacing w:line="320" w:lineRule="exact"/>
              <w:jc w:val="center"/>
              <w:rPr>
                <w:color w:val="auto"/>
                <w:sz w:val="24"/>
              </w:rPr>
            </w:pPr>
          </w:p>
        </w:tc>
      </w:tr>
      <w:tr w14:paraId="42F63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88" w:type="dxa"/>
            <w:gridSpan w:val="4"/>
            <w:noWrap w:val="0"/>
            <w:vAlign w:val="center"/>
          </w:tcPr>
          <w:p w14:paraId="4183F402">
            <w:pPr>
              <w:spacing w:line="320" w:lineRule="exact"/>
              <w:jc w:val="center"/>
              <w:rPr>
                <w:rFonts w:hint="eastAsia" w:eastAsia="仿宋_GB2312"/>
                <w:color w:val="auto"/>
                <w:sz w:val="24"/>
                <w:lang w:eastAsia="zh-CN"/>
              </w:rPr>
            </w:pPr>
            <w:r>
              <w:rPr>
                <w:rFonts w:eastAsia="仿宋_GB2312"/>
                <w:color w:val="auto"/>
                <w:sz w:val="24"/>
              </w:rPr>
              <w:t>合计</w:t>
            </w:r>
            <w:r>
              <w:rPr>
                <w:rFonts w:hint="eastAsia" w:eastAsia="仿宋_GB2312"/>
                <w:color w:val="auto"/>
                <w:sz w:val="24"/>
                <w:lang w:eastAsia="zh-CN"/>
              </w:rPr>
              <w:t>：</w:t>
            </w:r>
          </w:p>
        </w:tc>
        <w:tc>
          <w:tcPr>
            <w:tcW w:w="1025" w:type="dxa"/>
            <w:noWrap w:val="0"/>
            <w:vAlign w:val="center"/>
          </w:tcPr>
          <w:p w14:paraId="616CBCF7">
            <w:pPr>
              <w:spacing w:line="320" w:lineRule="exact"/>
              <w:jc w:val="center"/>
              <w:rPr>
                <w:color w:val="auto"/>
                <w:sz w:val="24"/>
              </w:rPr>
            </w:pPr>
          </w:p>
        </w:tc>
      </w:tr>
      <w:tr w14:paraId="008C5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atLeast"/>
          <w:jc w:val="center"/>
        </w:trPr>
        <w:tc>
          <w:tcPr>
            <w:tcW w:w="3651" w:type="dxa"/>
            <w:gridSpan w:val="3"/>
            <w:noWrap w:val="0"/>
            <w:vAlign w:val="center"/>
          </w:tcPr>
          <w:p w14:paraId="632C2CF4">
            <w:pPr>
              <w:spacing w:line="320" w:lineRule="exact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参与评选人员签字</w:t>
            </w:r>
          </w:p>
        </w:tc>
        <w:tc>
          <w:tcPr>
            <w:tcW w:w="6662" w:type="dxa"/>
            <w:gridSpan w:val="2"/>
            <w:noWrap w:val="0"/>
            <w:vAlign w:val="center"/>
          </w:tcPr>
          <w:p w14:paraId="3FC9E92E">
            <w:pPr>
              <w:spacing w:line="320" w:lineRule="exact"/>
              <w:jc w:val="center"/>
              <w:rPr>
                <w:color w:val="auto"/>
                <w:sz w:val="24"/>
              </w:rPr>
            </w:pPr>
            <w:bookmarkStart w:id="0" w:name="_GoBack"/>
            <w:bookmarkEnd w:id="0"/>
          </w:p>
        </w:tc>
      </w:tr>
    </w:tbl>
    <w:p w14:paraId="7BF341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iM2FmYjM0NDA0ZTk0YmQ3YTVjZTliNzdkZDljYzEifQ=="/>
  </w:docVars>
  <w:rsids>
    <w:rsidRoot w:val="00000000"/>
    <w:rsid w:val="00615EA1"/>
    <w:rsid w:val="00DA2323"/>
    <w:rsid w:val="046643CE"/>
    <w:rsid w:val="04BE5FB8"/>
    <w:rsid w:val="05AC22B4"/>
    <w:rsid w:val="05F7431B"/>
    <w:rsid w:val="06F04422"/>
    <w:rsid w:val="08847FE7"/>
    <w:rsid w:val="08BB636A"/>
    <w:rsid w:val="0C880C59"/>
    <w:rsid w:val="0DC257FD"/>
    <w:rsid w:val="0E833DCE"/>
    <w:rsid w:val="11304657"/>
    <w:rsid w:val="12045226"/>
    <w:rsid w:val="127A5680"/>
    <w:rsid w:val="14CA0061"/>
    <w:rsid w:val="16314110"/>
    <w:rsid w:val="1BC90EC2"/>
    <w:rsid w:val="1C1E3C86"/>
    <w:rsid w:val="1D3E15EC"/>
    <w:rsid w:val="1EE12B77"/>
    <w:rsid w:val="1FA83694"/>
    <w:rsid w:val="21B26104"/>
    <w:rsid w:val="23512271"/>
    <w:rsid w:val="2753038A"/>
    <w:rsid w:val="280478D6"/>
    <w:rsid w:val="29121B7F"/>
    <w:rsid w:val="2E4E18AB"/>
    <w:rsid w:val="2FCF2577"/>
    <w:rsid w:val="37732382"/>
    <w:rsid w:val="389E342F"/>
    <w:rsid w:val="391102D9"/>
    <w:rsid w:val="3AD62A0C"/>
    <w:rsid w:val="3BC83A00"/>
    <w:rsid w:val="3C101F4E"/>
    <w:rsid w:val="43D81EC1"/>
    <w:rsid w:val="44734A5C"/>
    <w:rsid w:val="45120AE5"/>
    <w:rsid w:val="49311755"/>
    <w:rsid w:val="4ACF1226"/>
    <w:rsid w:val="4D4E5D09"/>
    <w:rsid w:val="4D537EEC"/>
    <w:rsid w:val="4F244236"/>
    <w:rsid w:val="54B17059"/>
    <w:rsid w:val="552A00CC"/>
    <w:rsid w:val="5604091D"/>
    <w:rsid w:val="56660C90"/>
    <w:rsid w:val="56BD1ACD"/>
    <w:rsid w:val="576D604E"/>
    <w:rsid w:val="59B011BE"/>
    <w:rsid w:val="5A2A6479"/>
    <w:rsid w:val="5B70435F"/>
    <w:rsid w:val="5FAB3BB8"/>
    <w:rsid w:val="6E0E5A3E"/>
    <w:rsid w:val="6E764E54"/>
    <w:rsid w:val="6EFC1D3A"/>
    <w:rsid w:val="749169A9"/>
    <w:rsid w:val="764F7AFE"/>
    <w:rsid w:val="7D90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120" w:after="240"/>
      <w:jc w:val="both"/>
    </w:pPr>
    <w:rPr>
      <w:rFonts w:asciiTheme="minorHAnsi" w:hAnsiTheme="minorHAnsi" w:eastAsiaTheme="minorEastAsia" w:cstheme="minorBidi"/>
      <w:sz w:val="22"/>
      <w:szCs w:val="22"/>
      <w:lang w:val="ru-RU" w:eastAsia="zh-CN" w:bidi="ar-SA"/>
    </w:rPr>
  </w:style>
  <w:style w:type="paragraph" w:styleId="3">
    <w:name w:val="heading 1"/>
    <w:basedOn w:val="1"/>
    <w:next w:val="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4">
    <w:name w:val="Plain Text"/>
    <w:basedOn w:val="5"/>
    <w:next w:val="1"/>
    <w:qFormat/>
    <w:uiPriority w:val="0"/>
    <w:rPr>
      <w:rFonts w:ascii="宋体" w:hAnsi="Courier New" w:cs="Courier New"/>
      <w:sz w:val="21"/>
      <w:szCs w:val="21"/>
    </w:rPr>
  </w:style>
  <w:style w:type="paragraph" w:customStyle="1" w:styleId="5">
    <w:name w:val="Normal_2"/>
    <w:basedOn w:val="6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customStyle="1" w:styleId="6">
    <w:name w:val="Normal_3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1"/>
      <w:lang w:val="en-US" w:eastAsia="zh-CN" w:bidi="ar-SA"/>
    </w:rPr>
  </w:style>
  <w:style w:type="paragraph" w:styleId="7">
    <w:name w:val="Body Text"/>
    <w:basedOn w:val="1"/>
    <w:next w:val="1"/>
    <w:qFormat/>
    <w:uiPriority w:val="0"/>
    <w:pPr>
      <w:jc w:val="center"/>
    </w:pPr>
    <w:rPr>
      <w:b/>
      <w:bCs/>
    </w:rPr>
  </w:style>
  <w:style w:type="paragraph" w:customStyle="1" w:styleId="10">
    <w:name w:val="Other|1"/>
    <w:basedOn w:val="1"/>
    <w:qFormat/>
    <w:uiPriority w:val="0"/>
    <w:pPr>
      <w:widowControl w:val="0"/>
      <w:spacing w:line="480" w:lineRule="auto"/>
      <w:ind w:firstLine="400"/>
    </w:pPr>
    <w:rPr>
      <w:rFonts w:ascii="宋体" w:hAnsi="宋体" w:cs="宋体"/>
      <w:sz w:val="26"/>
      <w:szCs w:val="26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480</Words>
  <Characters>509</Characters>
  <Lines>0</Lines>
  <Paragraphs>0</Paragraphs>
  <TotalTime>0</TotalTime>
  <ScaleCrop>false</ScaleCrop>
  <LinksUpToDate>false</LinksUpToDate>
  <CharactersWithSpaces>558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2025-02-12T07:45:00Z</dcterms:created>
  <dc:creator>lenovo</dc:creator>
  <cp:lastModifiedBy>咔咔</cp:lastModifiedBy>
  <cp:lastPrinted>2025-04-08T08:47:00Z</cp:lastPrinted>
  <dcterms:modified xsi:type="dcterms:W3CDTF">2025-08-27T07:09:06Z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eyJoZGlkIjoiZmMwZmJiYTcxYjgyZWMyZjZjYzE0NGZjMTExODA3ZjUiLCJ1c2VySWQiOiIyODE3MTg3NDQifQ==</vt:lpwstr>
  </property>
  <property fmtid="{D5CDD505-2E9C-101B-9397-08002B2CF9AE}" pid="4" name="ICV">
    <vt:lpwstr>F08A25599BCB49EB8DCC179E3F1B0445_13</vt:lpwstr>
  </property>
</Properties>
</file>