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C03E3">
      <w:pPr>
        <w:spacing w:line="576" w:lineRule="exact"/>
        <w:jc w:val="center"/>
        <w:rPr>
          <w:rFonts w:hint="eastAsia" w:ascii="Times New Roman" w:eastAsia="方正仿宋简体"/>
          <w:b/>
          <w:sz w:val="36"/>
          <w:szCs w:val="36"/>
        </w:rPr>
      </w:pPr>
      <w:r>
        <w:rPr>
          <w:rFonts w:hint="eastAsia" w:ascii="Times New Roman" w:eastAsia="方正仿宋简体"/>
          <w:b/>
          <w:sz w:val="36"/>
          <w:szCs w:val="36"/>
        </w:rPr>
        <w:t>安宁工业园区中小企业科技孵化基地5-8幢厂房</w:t>
      </w:r>
    </w:p>
    <w:p w14:paraId="06C4D217">
      <w:pPr>
        <w:spacing w:line="576" w:lineRule="exact"/>
        <w:jc w:val="center"/>
        <w:rPr>
          <w:rFonts w:ascii="Times New Roman" w:hAnsi="Times New Roman" w:eastAsia="方正仿宋简体"/>
          <w:b/>
          <w:sz w:val="36"/>
          <w:szCs w:val="36"/>
        </w:rPr>
      </w:pPr>
      <w:r>
        <w:rPr>
          <w:rFonts w:hint="eastAsia" w:ascii="Times New Roman" w:eastAsia="方正仿宋简体"/>
          <w:b/>
          <w:sz w:val="36"/>
          <w:szCs w:val="36"/>
        </w:rPr>
        <w:t>电梯维保服务评分细则</w:t>
      </w:r>
    </w:p>
    <w:p w14:paraId="3CF5C2ED">
      <w:pPr>
        <w:pStyle w:val="11"/>
        <w:rPr>
          <w:rFonts w:hint="default" w:ascii="Times New Roman" w:hAnsi="Times New Roman"/>
        </w:rPr>
      </w:pPr>
    </w:p>
    <w:p w14:paraId="72871F16">
      <w:pPr>
        <w:pStyle w:val="11"/>
        <w:rPr>
          <w:rFonts w:hint="default" w:ascii="Times New Roman" w:hAnsi="Times New Roman"/>
        </w:rPr>
      </w:pPr>
      <w:r>
        <w:rPr>
          <w:rFonts w:hint="default" w:ascii="Times New Roman"/>
        </w:rPr>
        <w:t>报价比选单位：</w:t>
      </w:r>
      <w:r>
        <w:rPr>
          <w:rFonts w:hint="default" w:ascii="Times New Roman" w:hAnsi="Times New Roman"/>
        </w:rPr>
        <w:t xml:space="preserve">                                         </w:t>
      </w:r>
      <w:r>
        <w:rPr>
          <w:rFonts w:hint="default" w:ascii="Times New Roman"/>
        </w:rPr>
        <w:t>日期：</w:t>
      </w:r>
      <w:r>
        <w:rPr>
          <w:rFonts w:hint="default" w:ascii="Times New Roman" w:hAnsi="Times New Roman"/>
        </w:rPr>
        <w:t xml:space="preserve"> </w:t>
      </w:r>
    </w:p>
    <w:tbl>
      <w:tblPr>
        <w:tblStyle w:val="5"/>
        <w:tblW w:w="10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810"/>
        <w:gridCol w:w="883"/>
        <w:gridCol w:w="5715"/>
        <w:gridCol w:w="1249"/>
      </w:tblGrid>
      <w:tr w14:paraId="7359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58" w:type="dxa"/>
            <w:noWrap w:val="0"/>
            <w:vAlign w:val="center"/>
          </w:tcPr>
          <w:p w14:paraId="677937C5">
            <w:pPr>
              <w:pStyle w:val="2"/>
              <w:spacing w:line="0" w:lineRule="atLeast"/>
              <w:jc w:val="center"/>
              <w:rPr>
                <w:sz w:val="24"/>
              </w:rPr>
            </w:pPr>
            <w:r>
              <w:rPr>
                <w:rFonts w:hAnsi="黑体" w:eastAsia="黑体"/>
                <w:sz w:val="24"/>
              </w:rPr>
              <w:t>序号</w:t>
            </w:r>
          </w:p>
        </w:tc>
        <w:tc>
          <w:tcPr>
            <w:tcW w:w="1810" w:type="dxa"/>
            <w:noWrap w:val="0"/>
            <w:vAlign w:val="center"/>
          </w:tcPr>
          <w:p w14:paraId="44FEBC6C">
            <w:pPr>
              <w:pStyle w:val="2"/>
              <w:spacing w:line="0" w:lineRule="atLeast"/>
              <w:jc w:val="center"/>
              <w:rPr>
                <w:sz w:val="24"/>
              </w:rPr>
            </w:pPr>
            <w:r>
              <w:rPr>
                <w:rFonts w:hAnsi="黑体" w:eastAsia="黑体"/>
                <w:sz w:val="24"/>
              </w:rPr>
              <w:t>评标内容</w:t>
            </w:r>
          </w:p>
        </w:tc>
        <w:tc>
          <w:tcPr>
            <w:tcW w:w="883" w:type="dxa"/>
            <w:noWrap w:val="0"/>
            <w:vAlign w:val="center"/>
          </w:tcPr>
          <w:p w14:paraId="1DC7BEEE">
            <w:pPr>
              <w:pStyle w:val="2"/>
              <w:spacing w:line="0" w:lineRule="atLeast"/>
              <w:jc w:val="center"/>
              <w:rPr>
                <w:sz w:val="24"/>
              </w:rPr>
            </w:pPr>
            <w:r>
              <w:rPr>
                <w:rFonts w:hAnsi="黑体" w:eastAsia="黑体"/>
                <w:sz w:val="24"/>
              </w:rPr>
              <w:t>分值</w:t>
            </w:r>
          </w:p>
        </w:tc>
        <w:tc>
          <w:tcPr>
            <w:tcW w:w="5715" w:type="dxa"/>
            <w:noWrap w:val="0"/>
            <w:vAlign w:val="center"/>
          </w:tcPr>
          <w:p w14:paraId="385673B6">
            <w:pPr>
              <w:pStyle w:val="2"/>
              <w:spacing w:line="0" w:lineRule="atLeast"/>
              <w:jc w:val="center"/>
              <w:rPr>
                <w:sz w:val="24"/>
              </w:rPr>
            </w:pPr>
            <w:r>
              <w:rPr>
                <w:rFonts w:hAnsi="黑体" w:eastAsia="黑体"/>
                <w:sz w:val="24"/>
              </w:rPr>
              <w:t>评分标准</w:t>
            </w:r>
          </w:p>
        </w:tc>
        <w:tc>
          <w:tcPr>
            <w:tcW w:w="1249" w:type="dxa"/>
            <w:noWrap w:val="0"/>
            <w:vAlign w:val="center"/>
          </w:tcPr>
          <w:p w14:paraId="7ACC0F65">
            <w:pPr>
              <w:pStyle w:val="2"/>
              <w:spacing w:line="0" w:lineRule="atLeast"/>
              <w:jc w:val="center"/>
              <w:rPr>
                <w:sz w:val="24"/>
              </w:rPr>
            </w:pPr>
            <w:r>
              <w:rPr>
                <w:rFonts w:hAnsi="黑体" w:eastAsia="黑体"/>
                <w:sz w:val="24"/>
              </w:rPr>
              <w:t>评分</w:t>
            </w:r>
          </w:p>
        </w:tc>
      </w:tr>
      <w:tr w14:paraId="0F35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958" w:type="dxa"/>
            <w:noWrap w:val="0"/>
            <w:vAlign w:val="center"/>
          </w:tcPr>
          <w:p w14:paraId="72D9FE2F">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一</w:t>
            </w:r>
          </w:p>
        </w:tc>
        <w:tc>
          <w:tcPr>
            <w:tcW w:w="1810" w:type="dxa"/>
            <w:noWrap w:val="0"/>
            <w:vAlign w:val="center"/>
          </w:tcPr>
          <w:p w14:paraId="24D5CF98">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报价</w:t>
            </w:r>
          </w:p>
        </w:tc>
        <w:tc>
          <w:tcPr>
            <w:tcW w:w="883" w:type="dxa"/>
            <w:noWrap w:val="0"/>
            <w:vAlign w:val="center"/>
          </w:tcPr>
          <w:p w14:paraId="14E1B6E2">
            <w:pPr>
              <w:spacing w:line="320" w:lineRule="exact"/>
              <w:jc w:val="center"/>
              <w:rPr>
                <w:rFonts w:hint="default" w:ascii="Times New Roman" w:hAnsi="Times New Roman" w:cs="Times New Roman"/>
                <w:sz w:val="24"/>
              </w:rPr>
            </w:pPr>
            <w:r>
              <w:rPr>
                <w:rFonts w:hint="default" w:ascii="Times New Roman" w:hAnsi="Times New Roman" w:cs="Times New Roman"/>
                <w:sz w:val="24"/>
              </w:rPr>
              <w:t>20</w:t>
            </w:r>
          </w:p>
        </w:tc>
        <w:tc>
          <w:tcPr>
            <w:tcW w:w="5715" w:type="dxa"/>
            <w:noWrap w:val="0"/>
            <w:vAlign w:val="center"/>
          </w:tcPr>
          <w:p w14:paraId="319FFB68">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报价平均值为评标基准价，其他投标报价与其相比（差值）每下浮1%扣0.5分，每上浮1%扣1分，分数扣完为止。（超过拦标价不参与评标基准价计算）</w:t>
            </w:r>
          </w:p>
        </w:tc>
        <w:tc>
          <w:tcPr>
            <w:tcW w:w="1249" w:type="dxa"/>
            <w:noWrap w:val="0"/>
            <w:vAlign w:val="center"/>
          </w:tcPr>
          <w:p w14:paraId="3EE65A46">
            <w:pPr>
              <w:spacing w:line="320" w:lineRule="exact"/>
              <w:jc w:val="center"/>
              <w:rPr>
                <w:sz w:val="24"/>
              </w:rPr>
            </w:pPr>
          </w:p>
        </w:tc>
      </w:tr>
      <w:tr w14:paraId="1F51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jc w:val="center"/>
        </w:trPr>
        <w:tc>
          <w:tcPr>
            <w:tcW w:w="958" w:type="dxa"/>
            <w:noWrap w:val="0"/>
            <w:vAlign w:val="center"/>
          </w:tcPr>
          <w:p w14:paraId="5D752546">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二</w:t>
            </w:r>
          </w:p>
        </w:tc>
        <w:tc>
          <w:tcPr>
            <w:tcW w:w="1810" w:type="dxa"/>
            <w:noWrap w:val="0"/>
            <w:vAlign w:val="center"/>
          </w:tcPr>
          <w:p w14:paraId="2C59156D">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资信情况</w:t>
            </w:r>
          </w:p>
        </w:tc>
        <w:tc>
          <w:tcPr>
            <w:tcW w:w="883" w:type="dxa"/>
            <w:noWrap w:val="0"/>
            <w:vAlign w:val="center"/>
          </w:tcPr>
          <w:p w14:paraId="0D45D530">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15</w:t>
            </w:r>
          </w:p>
        </w:tc>
        <w:tc>
          <w:tcPr>
            <w:tcW w:w="5715" w:type="dxa"/>
            <w:noWrap w:val="0"/>
            <w:vAlign w:val="center"/>
          </w:tcPr>
          <w:p w14:paraId="2562D438">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1.提供合法有效营业执照：按要求提供的3分，未按要求提供得0分；</w:t>
            </w:r>
          </w:p>
          <w:p w14:paraId="68D8F78A">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2.提供资质证书情况：按要求提供的3分，未按要求提供得0分；</w:t>
            </w:r>
            <w:r>
              <w:rPr>
                <w:rFonts w:hint="default" w:ascii="Times New Roman" w:hAnsi="Times New Roman" w:cs="Times New Roman"/>
                <w:sz w:val="24"/>
              </w:rPr>
              <w:t xml:space="preserve"> </w:t>
            </w:r>
          </w:p>
          <w:p w14:paraId="480A9A66">
            <w:pPr>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3.提供三年内未被相关主管部门和行业协会给予行政处罚或行业处分的证明材料和在经营活动中没有重大违法记录以及目前未被处于责令停业，财产被接管、冻结或破产状态的承诺书：按要求提供的4分，未按要求提供得0分。</w:t>
            </w:r>
          </w:p>
          <w:p w14:paraId="48FE5D73">
            <w:pPr>
              <w:pStyle w:val="2"/>
              <w:spacing w:line="320" w:lineRule="exact"/>
              <w:rPr>
                <w:rFonts w:hint="default" w:ascii="Times New Roman" w:hAnsi="Times New Roman" w:cs="Times New Roman"/>
              </w:rPr>
            </w:pPr>
            <w:r>
              <w:rPr>
                <w:rFonts w:hint="default" w:ascii="Times New Roman" w:hAnsi="Times New Roman" w:eastAsia="仿宋_GB2312" w:cs="Times New Roman"/>
                <w:sz w:val="24"/>
              </w:rPr>
              <w:t>4. 具备中华人民共和国特种设备生产许可证曳引驱动乘客电梯、曳引驱动载货电梯、自动扶梯与自动人行道A级资质或不限级资质，得5分。</w:t>
            </w:r>
          </w:p>
        </w:tc>
        <w:tc>
          <w:tcPr>
            <w:tcW w:w="1249" w:type="dxa"/>
            <w:noWrap w:val="0"/>
            <w:vAlign w:val="center"/>
          </w:tcPr>
          <w:p w14:paraId="1B591997">
            <w:pPr>
              <w:spacing w:line="320" w:lineRule="exact"/>
              <w:jc w:val="center"/>
              <w:rPr>
                <w:sz w:val="24"/>
              </w:rPr>
            </w:pPr>
          </w:p>
        </w:tc>
      </w:tr>
      <w:tr w14:paraId="6C82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958" w:type="dxa"/>
            <w:noWrap w:val="0"/>
            <w:vAlign w:val="center"/>
          </w:tcPr>
          <w:p w14:paraId="21BF56C2">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三</w:t>
            </w:r>
          </w:p>
        </w:tc>
        <w:tc>
          <w:tcPr>
            <w:tcW w:w="1810" w:type="dxa"/>
            <w:noWrap w:val="0"/>
            <w:vAlign w:val="center"/>
          </w:tcPr>
          <w:p w14:paraId="115DBA09">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业绩情况</w:t>
            </w:r>
          </w:p>
        </w:tc>
        <w:tc>
          <w:tcPr>
            <w:tcW w:w="883" w:type="dxa"/>
            <w:noWrap w:val="0"/>
            <w:vAlign w:val="center"/>
          </w:tcPr>
          <w:p w14:paraId="40B24940">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10</w:t>
            </w:r>
          </w:p>
        </w:tc>
        <w:tc>
          <w:tcPr>
            <w:tcW w:w="5715" w:type="dxa"/>
            <w:noWrap w:val="0"/>
            <w:vAlign w:val="center"/>
          </w:tcPr>
          <w:p w14:paraId="7BF83AD2">
            <w:pPr>
              <w:spacing w:line="320" w:lineRule="exact"/>
              <w:rPr>
                <w:rFonts w:hint="default" w:ascii="Times New Roman" w:hAnsi="Times New Roman" w:eastAsia="仿宋_GB2312" w:cs="Times New Roman"/>
                <w:sz w:val="24"/>
              </w:rPr>
            </w:pPr>
            <w:bookmarkStart w:id="0" w:name="OLE_LINK2"/>
            <w:r>
              <w:rPr>
                <w:rFonts w:hint="default" w:ascii="Times New Roman" w:hAnsi="Times New Roman" w:eastAsia="仿宋_GB2312" w:cs="Times New Roman"/>
                <w:sz w:val="24"/>
              </w:rPr>
              <w:t>提供类似业绩证明材料：提供2个项目业绩得</w:t>
            </w:r>
            <w:bookmarkStart w:id="1" w:name="OLE_LINK3"/>
            <w:r>
              <w:rPr>
                <w:rFonts w:hint="default" w:ascii="Times New Roman" w:hAnsi="Times New Roman" w:eastAsia="仿宋_GB2312" w:cs="Times New Roman"/>
                <w:sz w:val="24"/>
                <w:lang w:val="en-US" w:eastAsia="zh-CN"/>
              </w:rPr>
              <w:t>4</w:t>
            </w:r>
            <w:bookmarkEnd w:id="1"/>
            <w:r>
              <w:rPr>
                <w:rFonts w:hint="default" w:ascii="Times New Roman" w:hAnsi="Times New Roman" w:eastAsia="仿宋_GB2312" w:cs="Times New Roman"/>
                <w:sz w:val="24"/>
              </w:rPr>
              <w:t>分，此外多提供</w:t>
            </w:r>
            <w:bookmarkStart w:id="2" w:name="OLE_LINK1"/>
            <w:r>
              <w:rPr>
                <w:rFonts w:hint="default" w:ascii="Times New Roman" w:hAnsi="Times New Roman" w:eastAsia="仿宋_GB2312" w:cs="Times New Roman"/>
                <w:sz w:val="24"/>
              </w:rPr>
              <w:t>1</w:t>
            </w:r>
            <w:bookmarkEnd w:id="2"/>
            <w:r>
              <w:rPr>
                <w:rFonts w:hint="default" w:ascii="Times New Roman" w:hAnsi="Times New Roman" w:eastAsia="仿宋_GB2312" w:cs="Times New Roman"/>
                <w:sz w:val="24"/>
              </w:rPr>
              <w:t>个，得</w:t>
            </w:r>
            <w:r>
              <w:rPr>
                <w:rFonts w:hint="default" w:ascii="Times New Roman" w:hAnsi="Times New Roman" w:eastAsia="仿宋_GB2312" w:cs="Times New Roman"/>
                <w:sz w:val="24"/>
                <w:lang w:val="en-US" w:eastAsia="zh-CN"/>
              </w:rPr>
              <w:t>2</w:t>
            </w:r>
            <w:r>
              <w:rPr>
                <w:rFonts w:hint="default" w:ascii="Times New Roman" w:hAnsi="Times New Roman" w:eastAsia="仿宋_GB2312" w:cs="Times New Roman"/>
                <w:sz w:val="24"/>
              </w:rPr>
              <w:t>分。</w:t>
            </w:r>
            <w:bookmarkEnd w:id="0"/>
            <w:bookmarkStart w:id="3" w:name="_GoBack"/>
            <w:bookmarkEnd w:id="3"/>
          </w:p>
        </w:tc>
        <w:tc>
          <w:tcPr>
            <w:tcW w:w="1249" w:type="dxa"/>
            <w:noWrap w:val="0"/>
            <w:vAlign w:val="center"/>
          </w:tcPr>
          <w:p w14:paraId="0C01A3F7">
            <w:pPr>
              <w:spacing w:line="320" w:lineRule="exact"/>
              <w:jc w:val="center"/>
              <w:rPr>
                <w:sz w:val="24"/>
              </w:rPr>
            </w:pPr>
          </w:p>
        </w:tc>
      </w:tr>
      <w:tr w14:paraId="32FB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noWrap w:val="0"/>
            <w:vAlign w:val="center"/>
          </w:tcPr>
          <w:p w14:paraId="7A5DE45D">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四</w:t>
            </w:r>
          </w:p>
        </w:tc>
        <w:tc>
          <w:tcPr>
            <w:tcW w:w="1810" w:type="dxa"/>
            <w:noWrap w:val="0"/>
            <w:vAlign w:val="center"/>
          </w:tcPr>
          <w:p w14:paraId="564E2A7D">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服务承诺</w:t>
            </w:r>
          </w:p>
        </w:tc>
        <w:tc>
          <w:tcPr>
            <w:tcW w:w="883" w:type="dxa"/>
            <w:noWrap w:val="0"/>
            <w:vAlign w:val="center"/>
          </w:tcPr>
          <w:p w14:paraId="43F6E21A">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15</w:t>
            </w:r>
          </w:p>
        </w:tc>
        <w:tc>
          <w:tcPr>
            <w:tcW w:w="5715" w:type="dxa"/>
            <w:noWrap w:val="0"/>
            <w:vAlign w:val="center"/>
          </w:tcPr>
          <w:p w14:paraId="298C6726">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1.承诺非常充分并有违约责任表述的，得11-15分；</w:t>
            </w:r>
          </w:p>
          <w:p w14:paraId="4EFEB265">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2.较为充分并有违约责任表述的，得6-10分；</w:t>
            </w:r>
          </w:p>
          <w:p w14:paraId="062BB22A">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3.基本充分但无违约责任表述的，得0-5分。</w:t>
            </w:r>
          </w:p>
        </w:tc>
        <w:tc>
          <w:tcPr>
            <w:tcW w:w="1249" w:type="dxa"/>
            <w:noWrap w:val="0"/>
            <w:vAlign w:val="center"/>
          </w:tcPr>
          <w:p w14:paraId="0BD4EB8F">
            <w:pPr>
              <w:spacing w:line="320" w:lineRule="exact"/>
              <w:jc w:val="center"/>
              <w:rPr>
                <w:sz w:val="24"/>
              </w:rPr>
            </w:pPr>
          </w:p>
        </w:tc>
      </w:tr>
      <w:tr w14:paraId="3D89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noWrap w:val="0"/>
            <w:vAlign w:val="center"/>
          </w:tcPr>
          <w:p w14:paraId="4033A66A">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五</w:t>
            </w:r>
          </w:p>
        </w:tc>
        <w:tc>
          <w:tcPr>
            <w:tcW w:w="1810" w:type="dxa"/>
            <w:noWrap w:val="0"/>
            <w:vAlign w:val="center"/>
          </w:tcPr>
          <w:p w14:paraId="08F45F8E">
            <w:pPr>
              <w:spacing w:line="320" w:lineRule="exact"/>
              <w:jc w:val="center"/>
              <w:rPr>
                <w:rFonts w:hint="default" w:ascii="Times New Roman" w:hAnsi="Times New Roman" w:cs="Times New Roman"/>
                <w:sz w:val="24"/>
              </w:rPr>
            </w:pPr>
            <w:r>
              <w:rPr>
                <w:rFonts w:hint="default" w:ascii="Times New Roman" w:hAnsi="Times New Roman" w:eastAsia="仿宋_GB2312" w:cs="Times New Roman"/>
                <w:sz w:val="24"/>
              </w:rPr>
              <w:t>服务方案</w:t>
            </w:r>
          </w:p>
        </w:tc>
        <w:tc>
          <w:tcPr>
            <w:tcW w:w="883" w:type="dxa"/>
            <w:noWrap w:val="0"/>
            <w:vAlign w:val="center"/>
          </w:tcPr>
          <w:p w14:paraId="419DC8AC">
            <w:pPr>
              <w:spacing w:line="320" w:lineRule="exact"/>
              <w:jc w:val="center"/>
              <w:rPr>
                <w:rFonts w:hint="default" w:ascii="Times New Roman" w:hAnsi="Times New Roman" w:cs="Times New Roman"/>
                <w:sz w:val="24"/>
              </w:rPr>
            </w:pPr>
            <w:r>
              <w:rPr>
                <w:rFonts w:hint="default" w:ascii="Times New Roman" w:hAnsi="Times New Roman" w:cs="Times New Roman"/>
                <w:sz w:val="24"/>
              </w:rPr>
              <w:t>25</w:t>
            </w:r>
          </w:p>
        </w:tc>
        <w:tc>
          <w:tcPr>
            <w:tcW w:w="5715" w:type="dxa"/>
            <w:noWrap w:val="0"/>
            <w:vAlign w:val="center"/>
          </w:tcPr>
          <w:p w14:paraId="5279100F">
            <w:pPr>
              <w:spacing w:line="320" w:lineRule="exact"/>
              <w:rPr>
                <w:rFonts w:hint="default" w:ascii="Times New Roman" w:hAnsi="Times New Roman" w:cs="Times New Roman"/>
                <w:color w:val="000000"/>
                <w:sz w:val="24"/>
              </w:rPr>
            </w:pPr>
            <w:r>
              <w:rPr>
                <w:rFonts w:hint="default" w:ascii="Times New Roman" w:hAnsi="Times New Roman" w:eastAsia="仿宋_GB2312" w:cs="Times New Roman"/>
                <w:color w:val="000000"/>
                <w:sz w:val="24"/>
              </w:rPr>
              <w:t>1.具有非常充分的工作部署和安排的，得18-25分；</w:t>
            </w:r>
          </w:p>
          <w:p w14:paraId="2169C129">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2.较为充分的工作部署和安排的，得9-17分；</w:t>
            </w:r>
          </w:p>
          <w:p w14:paraId="7CCAE0E6">
            <w:pPr>
              <w:pStyle w:val="11"/>
              <w:autoSpaceDE/>
              <w:autoSpaceDN/>
              <w:adjustRightInd/>
              <w:spacing w:line="320" w:lineRule="exact"/>
              <w:jc w:val="both"/>
              <w:rPr>
                <w:rFonts w:hint="default" w:ascii="Times New Roman" w:hAnsi="Times New Roman" w:eastAsia="仿宋_GB2312" w:cs="Times New Roman"/>
                <w:kern w:val="2"/>
                <w:szCs w:val="24"/>
              </w:rPr>
            </w:pPr>
            <w:r>
              <w:rPr>
                <w:rFonts w:hint="default" w:ascii="Times New Roman" w:hAnsi="Times New Roman" w:eastAsia="仿宋_GB2312" w:cs="Times New Roman"/>
                <w:kern w:val="2"/>
                <w:szCs w:val="24"/>
              </w:rPr>
              <w:t>3.基本充分的工作部署和安排的，得0-8分。</w:t>
            </w:r>
          </w:p>
        </w:tc>
        <w:tc>
          <w:tcPr>
            <w:tcW w:w="1249" w:type="dxa"/>
            <w:noWrap w:val="0"/>
            <w:vAlign w:val="center"/>
          </w:tcPr>
          <w:p w14:paraId="3E9C43E0">
            <w:pPr>
              <w:spacing w:line="320" w:lineRule="exact"/>
              <w:jc w:val="center"/>
              <w:rPr>
                <w:sz w:val="24"/>
              </w:rPr>
            </w:pPr>
          </w:p>
        </w:tc>
      </w:tr>
      <w:tr w14:paraId="18E9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noWrap w:val="0"/>
            <w:vAlign w:val="center"/>
          </w:tcPr>
          <w:p w14:paraId="1675B42A">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六</w:t>
            </w:r>
          </w:p>
        </w:tc>
        <w:tc>
          <w:tcPr>
            <w:tcW w:w="1810" w:type="dxa"/>
            <w:noWrap w:val="0"/>
            <w:vAlign w:val="center"/>
          </w:tcPr>
          <w:p w14:paraId="18A6C0ED">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服务团队及项目人员配备</w:t>
            </w:r>
          </w:p>
        </w:tc>
        <w:tc>
          <w:tcPr>
            <w:tcW w:w="883" w:type="dxa"/>
            <w:noWrap w:val="0"/>
            <w:vAlign w:val="center"/>
          </w:tcPr>
          <w:p w14:paraId="4A11EDEF">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10</w:t>
            </w:r>
          </w:p>
        </w:tc>
        <w:tc>
          <w:tcPr>
            <w:tcW w:w="5715" w:type="dxa"/>
            <w:noWrap w:val="0"/>
            <w:vAlign w:val="center"/>
          </w:tcPr>
          <w:p w14:paraId="6546C690">
            <w:pPr>
              <w:spacing w:line="320" w:lineRule="exact"/>
              <w:rPr>
                <w:rFonts w:hint="default" w:ascii="Times New Roman" w:hAnsi="Times New Roman" w:cs="Times New Roman"/>
                <w:sz w:val="24"/>
              </w:rPr>
            </w:pPr>
            <w:r>
              <w:rPr>
                <w:rFonts w:hint="default" w:ascii="Times New Roman" w:hAnsi="Times New Roman" w:eastAsia="仿宋_GB2312" w:cs="Times New Roman"/>
                <w:sz w:val="24"/>
              </w:rPr>
              <w:t>拟派驻项目负责人及人员</w:t>
            </w:r>
            <w:r>
              <w:rPr>
                <w:rFonts w:hint="default" w:ascii="Times New Roman" w:hAnsi="Times New Roman" w:eastAsia="仿宋_GB2312" w:cs="Times New Roman"/>
                <w:color w:val="000000"/>
                <w:sz w:val="24"/>
              </w:rPr>
              <w:t>的专业技术职称、经历、已承办的项目经验及个人获得的荣誉业绩等</w:t>
            </w:r>
            <w:r>
              <w:rPr>
                <w:rFonts w:hint="default" w:ascii="Times New Roman" w:hAnsi="Times New Roman" w:eastAsia="仿宋_GB2312" w:cs="Times New Roman"/>
                <w:sz w:val="24"/>
              </w:rPr>
              <w:t>进行综合评审，按0-</w:t>
            </w:r>
            <w:r>
              <w:rPr>
                <w:rFonts w:hint="default" w:ascii="Times New Roman" w:hAnsi="Times New Roman" w:cs="Times New Roman"/>
                <w:sz w:val="24"/>
              </w:rPr>
              <w:t>10</w:t>
            </w:r>
            <w:r>
              <w:rPr>
                <w:rFonts w:hint="default" w:ascii="Times New Roman" w:hAnsi="Times New Roman" w:eastAsia="仿宋_GB2312" w:cs="Times New Roman"/>
                <w:sz w:val="24"/>
              </w:rPr>
              <w:t>分打分。</w:t>
            </w:r>
          </w:p>
        </w:tc>
        <w:tc>
          <w:tcPr>
            <w:tcW w:w="1249" w:type="dxa"/>
            <w:noWrap w:val="0"/>
            <w:vAlign w:val="center"/>
          </w:tcPr>
          <w:p w14:paraId="0D61E06C">
            <w:pPr>
              <w:spacing w:line="320" w:lineRule="exact"/>
              <w:jc w:val="center"/>
              <w:rPr>
                <w:sz w:val="24"/>
              </w:rPr>
            </w:pPr>
          </w:p>
        </w:tc>
      </w:tr>
      <w:tr w14:paraId="6AE0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8" w:type="dxa"/>
            <w:noWrap w:val="0"/>
            <w:vAlign w:val="center"/>
          </w:tcPr>
          <w:p w14:paraId="0C6AB1C2">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七</w:t>
            </w:r>
          </w:p>
        </w:tc>
        <w:tc>
          <w:tcPr>
            <w:tcW w:w="1810" w:type="dxa"/>
            <w:noWrap w:val="0"/>
            <w:vAlign w:val="center"/>
          </w:tcPr>
          <w:p w14:paraId="097AC5A2">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原厂配件授权书</w:t>
            </w:r>
          </w:p>
        </w:tc>
        <w:tc>
          <w:tcPr>
            <w:tcW w:w="883" w:type="dxa"/>
            <w:noWrap w:val="0"/>
            <w:vAlign w:val="center"/>
          </w:tcPr>
          <w:p w14:paraId="47295DCF">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5</w:t>
            </w:r>
          </w:p>
        </w:tc>
        <w:tc>
          <w:tcPr>
            <w:tcW w:w="5715" w:type="dxa"/>
            <w:noWrap w:val="0"/>
            <w:vAlign w:val="center"/>
          </w:tcPr>
          <w:p w14:paraId="1825A7A5">
            <w:pPr>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供应商能提供原厂配件证明材料的得5分，不能提供的不得分。</w:t>
            </w:r>
          </w:p>
        </w:tc>
        <w:tc>
          <w:tcPr>
            <w:tcW w:w="1249" w:type="dxa"/>
            <w:noWrap w:val="0"/>
            <w:vAlign w:val="center"/>
          </w:tcPr>
          <w:p w14:paraId="5399282E">
            <w:pPr>
              <w:spacing w:line="320" w:lineRule="exact"/>
              <w:jc w:val="center"/>
              <w:rPr>
                <w:sz w:val="24"/>
              </w:rPr>
            </w:pPr>
          </w:p>
        </w:tc>
      </w:tr>
      <w:tr w14:paraId="7017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66" w:type="dxa"/>
            <w:gridSpan w:val="4"/>
            <w:noWrap w:val="0"/>
            <w:vAlign w:val="center"/>
          </w:tcPr>
          <w:p w14:paraId="74854D9B">
            <w:pPr>
              <w:spacing w:line="32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合计</w:t>
            </w:r>
          </w:p>
        </w:tc>
        <w:tc>
          <w:tcPr>
            <w:tcW w:w="1249" w:type="dxa"/>
            <w:noWrap w:val="0"/>
            <w:vAlign w:val="center"/>
          </w:tcPr>
          <w:p w14:paraId="6C29AC21">
            <w:pPr>
              <w:spacing w:line="320" w:lineRule="exact"/>
              <w:jc w:val="center"/>
              <w:rPr>
                <w:sz w:val="24"/>
              </w:rPr>
            </w:pPr>
          </w:p>
        </w:tc>
      </w:tr>
      <w:tr w14:paraId="529B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3651" w:type="dxa"/>
            <w:gridSpan w:val="3"/>
            <w:noWrap w:val="0"/>
            <w:vAlign w:val="center"/>
          </w:tcPr>
          <w:p w14:paraId="2BD1A2A3">
            <w:pPr>
              <w:spacing w:line="320" w:lineRule="exact"/>
              <w:jc w:val="center"/>
              <w:rPr>
                <w:sz w:val="24"/>
              </w:rPr>
            </w:pPr>
            <w:r>
              <w:rPr>
                <w:sz w:val="24"/>
              </w:rPr>
              <w:t>参与评选人员签字</w:t>
            </w:r>
          </w:p>
        </w:tc>
        <w:tc>
          <w:tcPr>
            <w:tcW w:w="6964" w:type="dxa"/>
            <w:gridSpan w:val="2"/>
            <w:noWrap w:val="0"/>
            <w:vAlign w:val="center"/>
          </w:tcPr>
          <w:p w14:paraId="29DB0573">
            <w:pPr>
              <w:spacing w:line="320" w:lineRule="exact"/>
              <w:jc w:val="center"/>
              <w:rPr>
                <w:sz w:val="24"/>
              </w:rPr>
            </w:pPr>
          </w:p>
        </w:tc>
      </w:tr>
    </w:tbl>
    <w:p w14:paraId="54FAC084"/>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WEyMWYzZmY0OTVhOGQwNThhMzczODhhOTllNGMifQ=="/>
  </w:docVars>
  <w:rsids>
    <w:rsidRoot w:val="00885A2A"/>
    <w:rsid w:val="0011487A"/>
    <w:rsid w:val="005B1080"/>
    <w:rsid w:val="00885A2A"/>
    <w:rsid w:val="00B1700C"/>
    <w:rsid w:val="00BC7BE1"/>
    <w:rsid w:val="3C8146D9"/>
    <w:rsid w:val="79CF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0"/>
    <w:pPr>
      <w:spacing w:after="120"/>
    </w:pPr>
    <w:rPr>
      <w:szCs w:val="24"/>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正文文本 Char1"/>
    <w:link w:val="2"/>
    <w:uiPriority w:val="0"/>
    <w:rPr>
      <w:szCs w:val="24"/>
    </w:rPr>
  </w:style>
  <w:style w:type="character" w:customStyle="1" w:styleId="10">
    <w:name w:val="正文文本 Char"/>
    <w:basedOn w:val="6"/>
    <w:link w:val="2"/>
    <w:semiHidden/>
    <w:qFormat/>
    <w:uiPriority w:val="99"/>
  </w:style>
  <w:style w:type="paragraph" w:customStyle="1" w:styleId="11">
    <w:name w:val="Default"/>
    <w:unhideWhenUsed/>
    <w:qFormat/>
    <w:uiPriority w:val="0"/>
    <w:pPr>
      <w:widowControl w:val="0"/>
      <w:autoSpaceDE w:val="0"/>
      <w:autoSpaceDN w:val="0"/>
      <w:adjustRightInd w:val="0"/>
    </w:pPr>
    <w:rPr>
      <w:rFonts w:hint="eastAsia" w:ascii="宋体" w:hAnsi="宋体" w:eastAsia="宋体" w:cs="Times New Roman"/>
      <w:color w:val="000000"/>
      <w:kern w:val="0"/>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551</Words>
  <Characters>593</Characters>
  <Lines>4</Lines>
  <Paragraphs>1</Paragraphs>
  <TotalTime>3</TotalTime>
  <ScaleCrop>false</ScaleCrop>
  <LinksUpToDate>false</LinksUpToDate>
  <CharactersWithSpaces>636</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2024-04-12T07:01:00Z</dcterms:created>
  <dc:creator>ASUS</dc:creator>
  <cp:lastModifiedBy>洪琳雁</cp:lastModifiedBy>
  <dcterms:modified xsi:type="dcterms:W3CDTF">2024-09-05T08:52:21Z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D885897544834A4F9205F244331CF82F_13</vt:lpwstr>
  </property>
</Properties>
</file>