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sz w:val="32"/>
          <w:szCs w:val="32"/>
        </w:rPr>
      </w:pPr>
      <w:bookmarkStart w:id="0" w:name="_Toc453059486"/>
      <w:bookmarkStart w:id="1" w:name="_Toc265050573"/>
      <w:bookmarkStart w:id="2" w:name="_Toc236738598"/>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7：</w:t>
      </w:r>
    </w:p>
    <w:p>
      <w:pPr>
        <w:pStyle w:val="4"/>
        <w:pageBreakBefore w:val="0"/>
        <w:kinsoku/>
        <w:wordWrap/>
        <w:overflowPunct/>
        <w:topLinePunct w:val="0"/>
        <w:bidi w:val="0"/>
        <w:spacing w:line="560" w:lineRule="exact"/>
        <w:ind w:firstLine="643"/>
        <w:jc w:val="both"/>
        <w:rPr>
          <w:rFonts w:hint="eastAsia" w:ascii="方正小标宋简体" w:hAnsi="方正小标宋简体" w:eastAsia="方正小标宋简体" w:cs="方正小标宋简体"/>
          <w:b w:val="0"/>
          <w:bCs/>
          <w:sz w:val="44"/>
          <w:szCs w:val="44"/>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拟</w:t>
      </w:r>
      <w:r>
        <w:rPr>
          <w:rFonts w:hint="eastAsia" w:ascii="方正小标宋简体" w:hAnsi="方正小标宋简体" w:eastAsia="方正小标宋简体" w:cs="方正小标宋简体"/>
          <w:b w:val="0"/>
          <w:bCs/>
          <w:color w:val="0000FF"/>
          <w:sz w:val="44"/>
          <w:szCs w:val="44"/>
          <w:lang w:val="en-US" w:eastAsia="zh-CN"/>
        </w:rPr>
        <w:t>指派</w:t>
      </w:r>
      <w:r>
        <w:rPr>
          <w:rFonts w:hint="eastAsia" w:ascii="方正小标宋简体" w:hAnsi="方正小标宋简体" w:eastAsia="方正小标宋简体" w:cs="方正小标宋简体"/>
          <w:b w:val="0"/>
          <w:bCs/>
          <w:sz w:val="44"/>
          <w:szCs w:val="44"/>
        </w:rPr>
        <w:t>项目组成员</w:t>
      </w:r>
      <w:bookmarkEnd w:id="0"/>
      <w:bookmarkEnd w:id="1"/>
      <w:bookmarkEnd w:id="2"/>
      <w:bookmarkStart w:id="16" w:name="_GoBack"/>
      <w:bookmarkEnd w:id="16"/>
    </w:p>
    <w:tbl>
      <w:tblPr>
        <w:tblStyle w:val="11"/>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223"/>
        <w:gridCol w:w="1569"/>
        <w:gridCol w:w="1855"/>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2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2223"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岗位名称</w:t>
            </w:r>
          </w:p>
        </w:tc>
        <w:tc>
          <w:tcPr>
            <w:tcW w:w="1569"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1855"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从事本专业</w:t>
            </w:r>
          </w:p>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年限</w:t>
            </w:r>
          </w:p>
        </w:tc>
        <w:tc>
          <w:tcPr>
            <w:tcW w:w="281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相关职称或执业资格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2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223"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569"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855"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281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2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223"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569"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855"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281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2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223"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569"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855"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281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2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2223"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569"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855"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281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2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2223"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569"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855"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281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2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223"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569"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855"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281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2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2223"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569"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855"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281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2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2223"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569"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855"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281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2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2223"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569"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855"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281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2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2223"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569"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855"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281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2223"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569"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1855"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sz w:val="32"/>
                <w:szCs w:val="32"/>
              </w:rPr>
            </w:pPr>
          </w:p>
        </w:tc>
        <w:tc>
          <w:tcPr>
            <w:tcW w:w="2818" w:type="dxa"/>
            <w:vAlign w:val="center"/>
          </w:tcPr>
          <w:p>
            <w:pPr>
              <w:pageBreakBefore w:val="0"/>
              <w:kinsoku/>
              <w:wordWrap/>
              <w:overflowPunct/>
              <w:topLinePunct w:val="0"/>
              <w:bidi w:val="0"/>
              <w:spacing w:line="560" w:lineRule="exact"/>
              <w:jc w:val="center"/>
              <w:rPr>
                <w:rFonts w:hint="eastAsia" w:ascii="仿宋_GB2312" w:hAnsi="仿宋_GB2312" w:eastAsia="仿宋_GB2312" w:cs="仿宋_GB2312"/>
                <w:b/>
                <w:sz w:val="32"/>
                <w:szCs w:val="32"/>
              </w:rPr>
            </w:pPr>
          </w:p>
        </w:tc>
      </w:tr>
    </w:tbl>
    <w:p>
      <w:pPr>
        <w:pageBreakBefore w:val="0"/>
        <w:kinsoku/>
        <w:wordWrap/>
        <w:overflowPunct/>
        <w:topLinePunct w:val="0"/>
        <w:bidi w:val="0"/>
        <w:spacing w:line="560" w:lineRule="exact"/>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注：附项目组成员相关证件或执业资格证明材料（复印件）</w:t>
      </w:r>
    </w:p>
    <w:p>
      <w:pPr>
        <w:pStyle w:val="3"/>
        <w:pageBreakBefore w:val="0"/>
        <w:kinsoku/>
        <w:wordWrap/>
        <w:overflowPunct/>
        <w:topLinePunct w:val="0"/>
        <w:bidi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w:t>
      </w:r>
    </w:p>
    <w:p>
      <w:pPr>
        <w:pageBreakBefore w:val="0"/>
        <w:kinsoku/>
        <w:wordWrap/>
        <w:overflowPunct/>
        <w:topLinePunct w:val="0"/>
        <w:bidi w:val="0"/>
        <w:spacing w:line="560" w:lineRule="exact"/>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法律服务方案内容及服务承诺</w:t>
      </w:r>
    </w:p>
    <w:p>
      <w:pPr>
        <w:pageBreakBefore w:val="0"/>
        <w:widowControl/>
        <w:kinsoku/>
        <w:wordWrap/>
        <w:overflowPunct/>
        <w:topLinePunct w:val="0"/>
        <w:bidi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（申请人根据服务经验和本项目情况，自行编制法律服务方案和工作推进计划，提示本项目应关注的法律风险点，格式自拟。）</w:t>
      </w:r>
    </w:p>
    <w:p>
      <w:pPr>
        <w:pStyle w:val="3"/>
        <w:pageBreakBefore w:val="0"/>
        <w:kinsoku/>
        <w:wordWrap/>
        <w:overflowPunct/>
        <w:topLinePunct w:val="0"/>
        <w:bidi w:val="0"/>
        <w:spacing w:line="560" w:lineRule="exact"/>
        <w:jc w:val="both"/>
        <w:rPr>
          <w:rFonts w:hint="eastAsia" w:ascii="仿宋_GB2312" w:hAnsi="仿宋_GB2312" w:eastAsia="仿宋_GB2312" w:cs="仿宋_GB2312"/>
          <w:sz w:val="32"/>
          <w:szCs w:val="32"/>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9：</w:t>
      </w:r>
    </w:p>
    <w:p>
      <w:pPr>
        <w:pStyle w:val="3"/>
        <w:pageBreakBefore w:val="0"/>
        <w:kinsoku/>
        <w:wordWrap/>
        <w:overflowPunct/>
        <w:topLinePunct w:val="0"/>
        <w:bidi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bookmarkStart w:id="3" w:name="_Toc450921195"/>
      <w:r>
        <w:rPr>
          <w:rFonts w:hint="eastAsia" w:ascii="仿宋_GB2312" w:hAnsi="仿宋_GB2312" w:eastAsia="仿宋_GB2312" w:cs="仿宋_GB2312"/>
          <w:sz w:val="32"/>
          <w:szCs w:val="32"/>
        </w:rPr>
        <w:t>申请人认为应提供的其它相关资料</w:t>
      </w:r>
      <w:bookmarkEnd w:id="3"/>
    </w:p>
    <w:p>
      <w:pPr>
        <w:pageBreakBefore w:val="0"/>
        <w:kinsoku/>
        <w:wordWrap/>
        <w:overflowPunct/>
        <w:topLinePunct w:val="0"/>
        <w:bidi w:val="0"/>
        <w:spacing w:line="560" w:lineRule="exact"/>
        <w:jc w:val="both"/>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需提交</w:t>
      </w:r>
      <w:r>
        <w:rPr>
          <w:rFonts w:hint="eastAsia" w:ascii="仿宋_GB2312" w:hAnsi="仿宋_GB2312" w:eastAsia="仿宋_GB2312" w:cs="仿宋_GB2312"/>
          <w:kern w:val="0"/>
          <w:sz w:val="32"/>
          <w:szCs w:val="32"/>
        </w:rPr>
        <w:t>的其他资料或申请人认为有必要提供的相关资料。）</w:t>
      </w:r>
    </w:p>
    <w:p>
      <w:pPr>
        <w:pageBreakBefore w:val="0"/>
        <w:kinsoku/>
        <w:wordWrap/>
        <w:overflowPunct/>
        <w:topLinePunct w:val="0"/>
        <w:bidi w:val="0"/>
        <w:spacing w:line="560" w:lineRule="exact"/>
        <w:jc w:val="both"/>
        <w:rPr>
          <w:rFonts w:hint="eastAsia" w:ascii="仿宋_GB2312" w:hAnsi="仿宋_GB2312" w:eastAsia="仿宋_GB2312" w:cs="仿宋_GB2312"/>
          <w:sz w:val="32"/>
          <w:szCs w:val="32"/>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6"/>
        <w:pageBreakBefore w:val="0"/>
        <w:kinsoku/>
        <w:wordWrap/>
        <w:overflowPunct/>
        <w:topLinePunct w:val="0"/>
        <w:bidi w:val="0"/>
        <w:snapToGrid w:val="0"/>
        <w:spacing w:line="560" w:lineRule="exact"/>
        <w:jc w:val="both"/>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w:t>
      </w:r>
    </w:p>
    <w:p>
      <w:pPr>
        <w:pageBreakBefore w:val="0"/>
        <w:kinsoku/>
        <w:wordWrap/>
        <w:overflowPunct/>
        <w:topLinePunct w:val="0"/>
        <w:bidi w:val="0"/>
        <w:spacing w:line="560" w:lineRule="exact"/>
        <w:jc w:val="both"/>
        <w:rPr>
          <w:rFonts w:hint="eastAsia" w:ascii="仿宋_GB2312" w:hAnsi="仿宋_GB2312" w:eastAsia="仿宋_GB2312" w:cs="仿宋_GB2312"/>
          <w:sz w:val="32"/>
          <w:szCs w:val="32"/>
        </w:rPr>
      </w:pPr>
    </w:p>
    <w:p>
      <w:pPr>
        <w:pStyle w:val="2"/>
        <w:pageBreakBefore w:val="0"/>
        <w:kinsoku/>
        <w:wordWrap/>
        <w:overflowPunct/>
        <w:topLinePunct w:val="0"/>
        <w:bidi w:val="0"/>
        <w:spacing w:line="560" w:lineRule="exact"/>
        <w:jc w:val="center"/>
        <w:rPr>
          <w:rFonts w:hint="eastAsia" w:ascii="方正小标宋简体" w:hAnsi="方正小标宋简体" w:eastAsia="方正小标宋简体" w:cs="方正小标宋简体"/>
          <w:b w:val="0"/>
          <w:bCs w:val="0"/>
          <w:color w:val="000000" w:themeColor="text1"/>
          <w:sz w:val="44"/>
          <w:szCs w:val="44"/>
          <w:highlight w:val="none"/>
          <w:lang w:eastAsia="zh-CN"/>
          <w14:textFill>
            <w14:solidFill>
              <w14:schemeClr w14:val="tx1"/>
            </w14:solidFill>
          </w14:textFill>
        </w:rPr>
      </w:pPr>
      <w:bookmarkStart w:id="4" w:name="_Toc522217637"/>
      <w:r>
        <w:rPr>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t>评审办法</w:t>
      </w:r>
      <w:bookmarkEnd w:id="4"/>
    </w:p>
    <w:p>
      <w:pPr>
        <w:pageBreakBefore w:val="0"/>
        <w:kinsoku/>
        <w:wordWrap/>
        <w:overflowPunct/>
        <w:topLinePunct w:val="0"/>
        <w:bidi w:val="0"/>
        <w:spacing w:line="560" w:lineRule="exact"/>
        <w:jc w:val="both"/>
        <w:rPr>
          <w:rFonts w:hint="eastAsia" w:ascii="仿宋_GB2312" w:hAnsi="仿宋_GB2312" w:eastAsia="仿宋_GB2312" w:cs="仿宋_GB2312"/>
          <w:b/>
          <w:color w:val="000000" w:themeColor="text1"/>
          <w:sz w:val="32"/>
          <w:szCs w:val="32"/>
          <w:highlight w:val="none"/>
          <w14:textFill>
            <w14:solidFill>
              <w14:schemeClr w14:val="tx1"/>
            </w14:solidFill>
          </w14:textFill>
        </w:rPr>
      </w:pPr>
      <w:bookmarkStart w:id="5" w:name="_Toc367203049"/>
      <w:bookmarkStart w:id="6" w:name="_Toc349649020"/>
    </w:p>
    <w:bookmarkEnd w:id="5"/>
    <w:bookmarkEnd w:id="6"/>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bookmarkStart w:id="7" w:name="_Toc349649021"/>
      <w:bookmarkStart w:id="8" w:name="_Toc367203050"/>
      <w:r>
        <w:rPr>
          <w:rFonts w:hint="eastAsia" w:ascii="仿宋_GB2312" w:hAnsi="仿宋_GB2312" w:eastAsia="仿宋_GB2312" w:cs="仿宋_GB2312"/>
          <w:color w:val="000000" w:themeColor="text1"/>
          <w:sz w:val="32"/>
          <w:szCs w:val="32"/>
          <w:highlight w:val="none"/>
          <w14:textFill>
            <w14:solidFill>
              <w14:schemeClr w14:val="tx1"/>
            </w14:solidFill>
          </w14:textFill>
        </w:rPr>
        <w:t>1.评审要求</w:t>
      </w:r>
      <w:bookmarkEnd w:id="7"/>
      <w:bookmarkEnd w:id="8"/>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1.1评审小组成员为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人及以上单数。</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1.2评审小组由公司</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领导班子和</w:t>
      </w:r>
      <w:r>
        <w:rPr>
          <w:rFonts w:hint="eastAsia" w:ascii="仿宋_GB2312" w:hAnsi="仿宋_GB2312" w:eastAsia="仿宋_GB2312" w:cs="仿宋_GB2312"/>
          <w:color w:val="000000" w:themeColor="text1"/>
          <w:sz w:val="32"/>
          <w:szCs w:val="32"/>
          <w:highlight w:val="none"/>
          <w14:textFill>
            <w14:solidFill>
              <w14:schemeClr w14:val="tx1"/>
            </w14:solidFill>
          </w14:textFill>
        </w:rPr>
        <w:t>各相关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部门负责人</w:t>
      </w:r>
      <w:r>
        <w:rPr>
          <w:rFonts w:hint="eastAsia" w:ascii="仿宋_GB2312" w:hAnsi="仿宋_GB2312" w:eastAsia="仿宋_GB2312" w:cs="仿宋_GB2312"/>
          <w:color w:val="000000" w:themeColor="text1"/>
          <w:sz w:val="32"/>
          <w:szCs w:val="32"/>
          <w:highlight w:val="none"/>
          <w14:textFill>
            <w14:solidFill>
              <w14:schemeClr w14:val="tx1"/>
            </w14:solidFill>
          </w14:textFill>
        </w:rPr>
        <w:t>组成。</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1.3评审内容的保密</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谈判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开始</w:t>
      </w:r>
      <w:r>
        <w:rPr>
          <w:rFonts w:hint="eastAsia" w:ascii="仿宋_GB2312" w:hAnsi="仿宋_GB2312" w:eastAsia="仿宋_GB2312" w:cs="仿宋_GB2312"/>
          <w:color w:val="000000" w:themeColor="text1"/>
          <w:sz w:val="32"/>
          <w:szCs w:val="32"/>
          <w:highlight w:val="none"/>
          <w14:textFill>
            <w14:solidFill>
              <w14:schemeClr w14:val="tx1"/>
            </w14:solidFill>
          </w14:textFill>
        </w:rPr>
        <w:t>后，直至宣布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入库名单</w:t>
      </w:r>
      <w:r>
        <w:rPr>
          <w:rFonts w:hint="eastAsia" w:ascii="仿宋_GB2312" w:hAnsi="仿宋_GB2312" w:eastAsia="仿宋_GB2312" w:cs="仿宋_GB2312"/>
          <w:color w:val="000000" w:themeColor="text1"/>
          <w:sz w:val="32"/>
          <w:szCs w:val="32"/>
          <w:highlight w:val="none"/>
          <w14:textFill>
            <w14:solidFill>
              <w14:schemeClr w14:val="tx1"/>
            </w14:solidFill>
          </w14:textFill>
        </w:rPr>
        <w:t>为止，凡属于审查、澄清、评价和比较谈判申请的所有资料，都不应向谈判申请人或与谈判申请无关的其他人泄露。</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1.4谈判申请文件的澄清</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为了有助于谈判申请文件的审查、评价和比较，评审小组可以个别地要求谈判申请人澄清其谈判申请文件。有关澄清的要求和答复，应以书面形式进行。</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评审原则</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2.1评审遵循“客观、公正、择优”的原则。</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2.2只对有效谈判申请文件进行评审，谈判申请文件以外的资料信息不作为评审的依据和参考。</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2.3只针对谈判申请文件中的疑问和问题进行提问，谈判申请人澄清问题不允许超出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公告</w:t>
      </w:r>
      <w:r>
        <w:rPr>
          <w:rFonts w:hint="eastAsia" w:ascii="仿宋_GB2312" w:hAnsi="仿宋_GB2312" w:eastAsia="仿宋_GB2312" w:cs="仿宋_GB2312"/>
          <w:color w:val="000000" w:themeColor="text1"/>
          <w:sz w:val="32"/>
          <w:szCs w:val="32"/>
          <w:highlight w:val="none"/>
          <w14:textFill>
            <w14:solidFill>
              <w14:schemeClr w14:val="tx1"/>
            </w14:solidFill>
          </w14:textFill>
        </w:rPr>
        <w:t>要求的范围或修改谈判申请文件的实质性内容。</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2.4评审过程中如遇特殊问题，由评审小组根据有关法律法规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及公司规定</w:t>
      </w:r>
      <w:r>
        <w:rPr>
          <w:rFonts w:hint="eastAsia" w:ascii="仿宋_GB2312" w:hAnsi="仿宋_GB2312" w:eastAsia="仿宋_GB2312" w:cs="仿宋_GB2312"/>
          <w:color w:val="000000" w:themeColor="text1"/>
          <w:sz w:val="32"/>
          <w:szCs w:val="32"/>
          <w:highlight w:val="none"/>
          <w14:textFill>
            <w14:solidFill>
              <w14:schemeClr w14:val="tx1"/>
            </w14:solidFill>
          </w14:textFill>
        </w:rPr>
        <w:t>研究决定。</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评审纪律</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3.1评审小组的成员应严格自律，自觉接受有关部门的监督。</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3.2评审过程中，评审小组成员不得擅离职守，影响评审程序正常进行。</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3.3评审小组的成员不得与谈判申请人、其他利害关系人私下接触，不得向谈判申请人、其他利害关系人泄露对谈判申请文件的评审、比较、成交候选人的推荐以及与评审有关的其它情况。</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3.4不允许任何人把谈判申请文件及其汇总材料带出评审会场（已经公开的价格等资料除外），所有资料不得复制，完成评审后所有材料交还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风险控制部封存</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3.5违反上述规定对评审造成不良影响的，后果由责任者承担。</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评审办法</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本次评审采用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14:textFill>
            <w14:solidFill>
              <w14:schemeClr w14:val="tx1"/>
            </w14:solidFill>
          </w14:textFill>
        </w:rPr>
        <w:t>阶段评审：</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14:textFill>
            <w14:solidFill>
              <w14:schemeClr w14:val="tx1"/>
            </w14:solidFill>
          </w14:textFill>
        </w:rPr>
        <w:t>1第一阶段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由风险控制部组织</w:t>
      </w:r>
      <w:r>
        <w:rPr>
          <w:rFonts w:hint="eastAsia" w:ascii="仿宋_GB2312" w:hAnsi="仿宋_GB2312" w:eastAsia="仿宋_GB2312" w:cs="仿宋_GB2312"/>
          <w:color w:val="000000" w:themeColor="text1"/>
          <w:sz w:val="32"/>
          <w:szCs w:val="32"/>
          <w:highlight w:val="none"/>
          <w14:textFill>
            <w14:solidFill>
              <w14:schemeClr w14:val="tx1"/>
            </w14:solidFill>
          </w14:textFill>
        </w:rPr>
        <w:t>对谈判申请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人</w:t>
      </w:r>
      <w:r>
        <w:rPr>
          <w:rFonts w:hint="eastAsia" w:ascii="仿宋_GB2312" w:hAnsi="仿宋_GB2312" w:eastAsia="仿宋_GB2312" w:cs="仿宋_GB2312"/>
          <w:color w:val="000000" w:themeColor="text1"/>
          <w:sz w:val="32"/>
          <w:szCs w:val="32"/>
          <w:highlight w:val="none"/>
          <w14:textFill>
            <w14:solidFill>
              <w14:schemeClr w14:val="tx1"/>
            </w14:solidFill>
          </w14:textFill>
        </w:rPr>
        <w:t>进行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前期</w:t>
      </w:r>
      <w:r>
        <w:rPr>
          <w:rFonts w:hint="eastAsia" w:ascii="仿宋_GB2312" w:hAnsi="仿宋_GB2312" w:eastAsia="仿宋_GB2312" w:cs="仿宋_GB2312"/>
          <w:color w:val="000000" w:themeColor="text1"/>
          <w:sz w:val="32"/>
          <w:szCs w:val="32"/>
          <w:highlight w:val="none"/>
          <w14:textFill>
            <w14:solidFill>
              <w14:schemeClr w14:val="tx1"/>
            </w14:solidFill>
          </w14:textFill>
        </w:rPr>
        <w:t>资格审查、符合性审查，申请人只有全部满足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评分表</w:t>
      </w:r>
      <w:r>
        <w:rPr>
          <w:rFonts w:hint="eastAsia" w:ascii="仿宋_GB2312" w:hAnsi="仿宋_GB2312" w:eastAsia="仿宋_GB2312" w:cs="仿宋_GB2312"/>
          <w:color w:val="000000" w:themeColor="text1"/>
          <w:sz w:val="32"/>
          <w:szCs w:val="32"/>
          <w:highlight w:val="none"/>
          <w14:textFill>
            <w14:solidFill>
              <w14:schemeClr w14:val="tx1"/>
            </w14:solidFill>
          </w14:textFill>
        </w:rPr>
        <w:t>中资格审查的要求才能通过初步审查。</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14:textFill>
            <w14:solidFill>
              <w14:schemeClr w14:val="tx1"/>
            </w14:solidFill>
          </w14:textFill>
        </w:rPr>
        <w:t>2第二阶段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由评审小组</w:t>
      </w:r>
      <w:bookmarkStart w:id="9" w:name="_Toc344117613"/>
      <w:bookmarkStart w:id="10" w:name="_Toc349649022"/>
      <w:bookmarkStart w:id="11" w:name="_Toc367203051"/>
      <w:bookmarkStart w:id="12" w:name="_Toc343865866"/>
      <w:r>
        <w:rPr>
          <w:rFonts w:hint="eastAsia" w:ascii="仿宋_GB2312" w:hAnsi="仿宋_GB2312" w:eastAsia="仿宋_GB2312" w:cs="仿宋_GB2312"/>
          <w:color w:val="000000" w:themeColor="text1"/>
          <w:sz w:val="32"/>
          <w:szCs w:val="32"/>
          <w:highlight w:val="none"/>
          <w14:textFill>
            <w14:solidFill>
              <w14:schemeClr w14:val="tx1"/>
            </w14:solidFill>
          </w14:textFill>
        </w:rPr>
        <w:t>对全部通过初步评审的有效谈判申请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人</w:t>
      </w:r>
      <w:r>
        <w:rPr>
          <w:rFonts w:hint="eastAsia" w:ascii="仿宋_GB2312" w:hAnsi="仿宋_GB2312" w:eastAsia="仿宋_GB2312" w:cs="仿宋_GB2312"/>
          <w:color w:val="000000" w:themeColor="text1"/>
          <w:sz w:val="32"/>
          <w:szCs w:val="32"/>
          <w:highlight w:val="none"/>
          <w14:textFill>
            <w14:solidFill>
              <w14:schemeClr w14:val="tx1"/>
            </w14:solidFill>
          </w14:textFill>
        </w:rPr>
        <w:t>进行独立谈判。申请人在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评审</w:t>
      </w:r>
      <w:r>
        <w:rPr>
          <w:rFonts w:hint="eastAsia" w:ascii="仿宋_GB2312" w:hAnsi="仿宋_GB2312" w:eastAsia="仿宋_GB2312" w:cs="仿宋_GB2312"/>
          <w:color w:val="000000" w:themeColor="text1"/>
          <w:sz w:val="32"/>
          <w:szCs w:val="32"/>
          <w:highlight w:val="none"/>
          <w14:textFill>
            <w14:solidFill>
              <w14:schemeClr w14:val="tx1"/>
            </w14:solidFill>
          </w14:textFill>
        </w:rPr>
        <w:t>小组规定的时间内作出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业绩介绍及报价承诺，同时需回答评审</w:t>
      </w:r>
      <w:r>
        <w:rPr>
          <w:rFonts w:hint="eastAsia" w:ascii="仿宋_GB2312" w:hAnsi="仿宋_GB2312" w:eastAsia="仿宋_GB2312" w:cs="仿宋_GB2312"/>
          <w:color w:val="000000" w:themeColor="text1"/>
          <w:sz w:val="32"/>
          <w:szCs w:val="32"/>
          <w:highlight w:val="none"/>
          <w14:textFill>
            <w14:solidFill>
              <w14:schemeClr w14:val="tx1"/>
            </w14:solidFill>
          </w14:textFill>
        </w:rPr>
        <w:t>小组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所提问题</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评审</w:t>
      </w:r>
      <w:r>
        <w:rPr>
          <w:rFonts w:hint="eastAsia" w:ascii="仿宋_GB2312" w:hAnsi="仿宋_GB2312" w:eastAsia="仿宋_GB2312" w:cs="仿宋_GB2312"/>
          <w:color w:val="000000" w:themeColor="text1"/>
          <w:sz w:val="32"/>
          <w:szCs w:val="32"/>
          <w:highlight w:val="none"/>
          <w14:textFill>
            <w14:solidFill>
              <w14:schemeClr w14:val="tx1"/>
            </w14:solidFill>
          </w14:textFill>
        </w:rPr>
        <w:t>小组根据谈判申请人的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业绩介绍及报价承诺进行评分</w:t>
      </w:r>
      <w:r>
        <w:rPr>
          <w:rFonts w:hint="eastAsia" w:ascii="仿宋_GB2312" w:hAnsi="仿宋_GB2312" w:eastAsia="仿宋_GB2312" w:cs="仿宋_GB2312"/>
          <w:color w:val="000000" w:themeColor="text1"/>
          <w:sz w:val="32"/>
          <w:szCs w:val="32"/>
          <w:highlight w:val="none"/>
          <w14:textFill>
            <w14:solidFill>
              <w14:schemeClr w14:val="tx1"/>
            </w14:solidFill>
          </w14:textFill>
        </w:rPr>
        <w:t>，最终得分必须达到或超过80分才能通过评审，进入到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入库</w:t>
      </w:r>
      <w:r>
        <w:rPr>
          <w:rFonts w:hint="eastAsia" w:ascii="仿宋_GB2312" w:hAnsi="仿宋_GB2312" w:eastAsia="仿宋_GB2312" w:cs="仿宋_GB2312"/>
          <w:color w:val="000000" w:themeColor="text1"/>
          <w:sz w:val="32"/>
          <w:szCs w:val="32"/>
          <w:highlight w:val="none"/>
          <w14:textFill>
            <w14:solidFill>
              <w14:schemeClr w14:val="tx1"/>
            </w14:solidFill>
          </w14:textFill>
        </w:rPr>
        <w:t>候选人排序阶段。</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评审</w:t>
      </w:r>
      <w:r>
        <w:rPr>
          <w:rFonts w:hint="eastAsia" w:ascii="仿宋_GB2312" w:hAnsi="仿宋_GB2312" w:eastAsia="仿宋_GB2312" w:cs="仿宋_GB2312"/>
          <w:color w:val="000000" w:themeColor="text1"/>
          <w:sz w:val="32"/>
          <w:szCs w:val="32"/>
          <w:highlight w:val="none"/>
          <w14:textFill>
            <w14:solidFill>
              <w14:schemeClr w14:val="tx1"/>
            </w14:solidFill>
          </w14:textFill>
        </w:rPr>
        <w:t>小组对通过初步评审和详细评审的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入库</w:t>
      </w:r>
      <w:r>
        <w:rPr>
          <w:rFonts w:hint="eastAsia" w:ascii="仿宋_GB2312" w:hAnsi="仿宋_GB2312" w:eastAsia="仿宋_GB2312" w:cs="仿宋_GB2312"/>
          <w:color w:val="000000" w:themeColor="text1"/>
          <w:sz w:val="32"/>
          <w:szCs w:val="32"/>
          <w:highlight w:val="none"/>
          <w14:textFill>
            <w14:solidFill>
              <w14:schemeClr w14:val="tx1"/>
            </w14:solidFill>
          </w14:textFill>
        </w:rPr>
        <w:t>候选人按最终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评分</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高</w:t>
      </w:r>
      <w:r>
        <w:rPr>
          <w:rFonts w:hint="eastAsia" w:ascii="仿宋_GB2312" w:hAnsi="仿宋_GB2312" w:eastAsia="仿宋_GB2312" w:cs="仿宋_GB2312"/>
          <w:color w:val="000000" w:themeColor="text1"/>
          <w:sz w:val="32"/>
          <w:szCs w:val="32"/>
          <w:highlight w:val="none"/>
          <w14:textFill>
            <w14:solidFill>
              <w14:schemeClr w14:val="tx1"/>
            </w14:solidFill>
          </w14:textFill>
        </w:rPr>
        <w:t>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低</w:t>
      </w:r>
      <w:r>
        <w:rPr>
          <w:rFonts w:hint="eastAsia" w:ascii="仿宋_GB2312" w:hAnsi="仿宋_GB2312" w:eastAsia="仿宋_GB2312" w:cs="仿宋_GB2312"/>
          <w:color w:val="000000" w:themeColor="text1"/>
          <w:sz w:val="32"/>
          <w:szCs w:val="32"/>
          <w:highlight w:val="none"/>
          <w14:textFill>
            <w14:solidFill>
              <w14:schemeClr w14:val="tx1"/>
            </w14:solidFill>
          </w14:textFill>
        </w:rPr>
        <w:t>的原则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确定入库人</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如</w:t>
      </w:r>
      <w:r>
        <w:rPr>
          <w:rFonts w:hint="eastAsia" w:ascii="仿宋_GB2312" w:hAnsi="仿宋_GB2312" w:eastAsia="仿宋_GB2312" w:cs="仿宋_GB2312"/>
          <w:color w:val="000000" w:themeColor="text1"/>
          <w:sz w:val="32"/>
          <w:szCs w:val="32"/>
          <w:highlight w:val="none"/>
          <w14:textFill>
            <w14:solidFill>
              <w14:schemeClr w14:val="tx1"/>
            </w14:solidFill>
          </w14:textFill>
        </w:rPr>
        <w:t>最终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评分出现相同时，评审采用综合推荐的形式，由评审小组根据谈判申请人实施方案、人员配置等综合情况投票决定。</w:t>
      </w:r>
    </w:p>
    <w:bookmarkEnd w:id="9"/>
    <w:bookmarkEnd w:id="10"/>
    <w:bookmarkEnd w:id="11"/>
    <w:bookmarkEnd w:id="12"/>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评审准备</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5.1</w:t>
      </w:r>
      <w:r>
        <w:rPr>
          <w:rFonts w:hint="eastAsia" w:ascii="仿宋_GB2312" w:hAnsi="仿宋_GB2312" w:eastAsia="仿宋_GB2312" w:cs="仿宋_GB2312"/>
          <w:color w:val="000000" w:themeColor="text1"/>
          <w:sz w:val="32"/>
          <w:szCs w:val="32"/>
          <w:highlight w:val="none"/>
          <w14:textFill>
            <w14:solidFill>
              <w14:schemeClr w14:val="tx1"/>
            </w14:solidFill>
          </w14:textFill>
        </w:rPr>
        <w:t>评审小组成员签到</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评审小组成员到达评审现场时应在签到表上签到以证明其出席。</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.2谈判小组的分工</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评审小组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由公司总经理担任</w:t>
      </w:r>
      <w:r>
        <w:rPr>
          <w:rFonts w:hint="eastAsia" w:ascii="仿宋_GB2312" w:hAnsi="仿宋_GB2312" w:eastAsia="仿宋_GB2312" w:cs="仿宋_GB2312"/>
          <w:color w:val="000000" w:themeColor="text1"/>
          <w:sz w:val="32"/>
          <w:szCs w:val="32"/>
          <w:highlight w:val="none"/>
          <w14:textFill>
            <w14:solidFill>
              <w14:schemeClr w14:val="tx1"/>
            </w14:solidFill>
          </w14:textFill>
        </w:rPr>
        <w:t>组长。评审小组组长负责评审活动的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组织</w:t>
      </w:r>
      <w:r>
        <w:rPr>
          <w:rFonts w:hint="eastAsia" w:ascii="仿宋_GB2312" w:hAnsi="仿宋_GB2312" w:eastAsia="仿宋_GB2312" w:cs="仿宋_GB2312"/>
          <w:color w:val="000000" w:themeColor="text1"/>
          <w:sz w:val="32"/>
          <w:szCs w:val="32"/>
          <w:highlight w:val="none"/>
          <w14:textFill>
            <w14:solidFill>
              <w14:schemeClr w14:val="tx1"/>
            </w14:solidFill>
          </w14:textFill>
        </w:rPr>
        <w:t>领导工作。</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.3熟悉文件资料</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1）评审小组组长应组织评审小组成员认真研究掌握评分标准和方法。</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2）谈判申请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人</w:t>
      </w:r>
      <w:r>
        <w:rPr>
          <w:rFonts w:hint="eastAsia" w:ascii="仿宋_GB2312" w:hAnsi="仿宋_GB2312" w:eastAsia="仿宋_GB2312" w:cs="仿宋_GB2312"/>
          <w:color w:val="000000" w:themeColor="text1"/>
          <w:sz w:val="32"/>
          <w:szCs w:val="32"/>
          <w:highlight w:val="none"/>
          <w14:textFill>
            <w14:solidFill>
              <w14:schemeClr w14:val="tx1"/>
            </w14:solidFill>
          </w14:textFill>
        </w:rPr>
        <w:t>应向评审小组提供评审所需的谈判申请文件以及评审小组认为必要的其他信息和数据。</w:t>
      </w:r>
    </w:p>
    <w:p>
      <w:pPr>
        <w:pageBreakBefore w:val="0"/>
        <w:kinsoku/>
        <w:wordWrap/>
        <w:overflowPunct/>
        <w:topLinePunct w:val="0"/>
        <w:bidi w:val="0"/>
        <w:spacing w:line="560" w:lineRule="exact"/>
        <w:ind w:firstLine="640" w:firstLineChars="200"/>
        <w:jc w:val="both"/>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highlight w:val="none"/>
          <w14:textFill>
            <w14:solidFill>
              <w14:schemeClr w14:val="tx1"/>
            </w14:solidFill>
          </w14:textFill>
        </w:rPr>
        <w:t>评审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结果</w:t>
      </w:r>
    </w:p>
    <w:p>
      <w:pPr>
        <w:pageBreakBefore w:val="0"/>
        <w:kinsoku/>
        <w:wordWrap/>
        <w:overflowPunct/>
        <w:topLinePunct w:val="0"/>
        <w:bidi w:val="0"/>
        <w:spacing w:line="560" w:lineRule="exact"/>
        <w:jc w:val="both"/>
        <w:rPr>
          <w:rFonts w:hint="eastAsia" w:ascii="仿宋_GB2312" w:hAnsi="仿宋_GB2312" w:eastAsia="仿宋_GB2312" w:cs="仿宋_GB2312"/>
          <w:b/>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评审小组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经谈判评审最终确定入库人名单后，于公司网站对外公示，公示期为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7个自然日。期间接受社会各界反馈和监督。</w:t>
      </w:r>
    </w:p>
    <w:p>
      <w:pPr>
        <w:pStyle w:val="10"/>
        <w:pageBreakBefore w:val="0"/>
        <w:kinsoku/>
        <w:wordWrap/>
        <w:overflowPunct/>
        <w:topLinePunct w:val="0"/>
        <w:bidi w:val="0"/>
        <w:spacing w:line="560" w:lineRule="exact"/>
        <w:jc w:val="both"/>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注：</w:t>
      </w:r>
      <w:r>
        <w:rPr>
          <w:rFonts w:hint="eastAsia" w:ascii="仿宋_GB2312" w:hAnsi="仿宋_GB2312" w:eastAsia="仿宋_GB2312" w:cs="仿宋_GB2312"/>
          <w:color w:val="000000" w:themeColor="text1"/>
          <w:sz w:val="32"/>
          <w:szCs w:val="32"/>
          <w:highlight w:val="none"/>
          <w14:textFill>
            <w14:solidFill>
              <w14:schemeClr w14:val="tx1"/>
            </w14:solidFill>
          </w14:textFill>
        </w:rPr>
        <w:t>评审</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小组</w:t>
      </w:r>
      <w:r>
        <w:rPr>
          <w:rFonts w:hint="eastAsia" w:ascii="仿宋_GB2312" w:hAnsi="仿宋_GB2312" w:eastAsia="仿宋_GB2312" w:cs="仿宋_GB2312"/>
          <w:b/>
          <w:color w:val="000000" w:themeColor="text1"/>
          <w:sz w:val="32"/>
          <w:szCs w:val="32"/>
          <w:highlight w:val="none"/>
          <w14:textFill>
            <w14:solidFill>
              <w14:schemeClr w14:val="tx1"/>
            </w14:solidFill>
          </w14:textFill>
        </w:rPr>
        <w:t>根据</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评审的要求</w:t>
      </w:r>
      <w:r>
        <w:rPr>
          <w:rFonts w:hint="eastAsia" w:ascii="仿宋_GB2312" w:hAnsi="仿宋_GB2312" w:eastAsia="仿宋_GB2312" w:cs="仿宋_GB2312"/>
          <w:b/>
          <w:color w:val="000000" w:themeColor="text1"/>
          <w:sz w:val="32"/>
          <w:szCs w:val="32"/>
          <w:highlight w:val="none"/>
          <w14:textFill>
            <w14:solidFill>
              <w14:schemeClr w14:val="tx1"/>
            </w14:solidFill>
          </w14:textFill>
        </w:rPr>
        <w:t>，否决不合格</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申请人</w:t>
      </w:r>
      <w:r>
        <w:rPr>
          <w:rFonts w:hint="eastAsia" w:ascii="仿宋_GB2312" w:hAnsi="仿宋_GB2312" w:eastAsia="仿宋_GB2312" w:cs="仿宋_GB2312"/>
          <w:b/>
          <w:color w:val="000000" w:themeColor="text1"/>
          <w:sz w:val="32"/>
          <w:szCs w:val="32"/>
          <w:highlight w:val="none"/>
          <w14:textFill>
            <w14:solidFill>
              <w14:schemeClr w14:val="tx1"/>
            </w14:solidFill>
          </w14:textFill>
        </w:rPr>
        <w:t>后，因为有效</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申请人</w:t>
      </w:r>
      <w:r>
        <w:rPr>
          <w:rFonts w:hint="eastAsia" w:ascii="仿宋_GB2312" w:hAnsi="仿宋_GB2312" w:eastAsia="仿宋_GB2312" w:cs="仿宋_GB2312"/>
          <w:b/>
          <w:color w:val="000000" w:themeColor="text1"/>
          <w:sz w:val="32"/>
          <w:szCs w:val="32"/>
          <w:highlight w:val="none"/>
          <w14:textFill>
            <w14:solidFill>
              <w14:schemeClr w14:val="tx1"/>
            </w14:solidFill>
          </w14:textFill>
        </w:rPr>
        <w:t>不足</w:t>
      </w:r>
      <w:r>
        <w:rPr>
          <w:rFonts w:hint="eastAsia" w:ascii="仿宋_GB2312" w:hAnsi="仿宋_GB2312" w:eastAsia="仿宋_GB2312" w:cs="仿宋_GB2312"/>
          <w:b/>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color w:val="000000" w:themeColor="text1"/>
          <w:sz w:val="32"/>
          <w:szCs w:val="32"/>
          <w:highlight w:val="none"/>
          <w14:textFill>
            <w14:solidFill>
              <w14:schemeClr w14:val="tx1"/>
            </w14:solidFill>
          </w14:textFill>
        </w:rPr>
        <w:t>个使得</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谈判</w:t>
      </w:r>
      <w:r>
        <w:rPr>
          <w:rFonts w:hint="eastAsia" w:ascii="仿宋_GB2312" w:hAnsi="仿宋_GB2312" w:eastAsia="仿宋_GB2312" w:cs="仿宋_GB2312"/>
          <w:b/>
          <w:color w:val="000000" w:themeColor="text1"/>
          <w:sz w:val="32"/>
          <w:szCs w:val="32"/>
          <w:highlight w:val="none"/>
          <w14:textFill>
            <w14:solidFill>
              <w14:schemeClr w14:val="tx1"/>
            </w14:solidFill>
          </w14:textFill>
        </w:rPr>
        <w:t>明显缺乏竞争的，</w:t>
      </w:r>
      <w:r>
        <w:rPr>
          <w:rFonts w:hint="eastAsia" w:ascii="仿宋_GB2312" w:hAnsi="仿宋_GB2312" w:eastAsia="仿宋_GB2312" w:cs="仿宋_GB2312"/>
          <w:color w:val="000000" w:themeColor="text1"/>
          <w:sz w:val="32"/>
          <w:szCs w:val="32"/>
          <w:highlight w:val="none"/>
          <w14:textFill>
            <w14:solidFill>
              <w14:schemeClr w14:val="tx1"/>
            </w14:solidFill>
          </w14:textFill>
        </w:rPr>
        <w:t>评审</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小组</w:t>
      </w:r>
      <w:r>
        <w:rPr>
          <w:rFonts w:hint="eastAsia" w:ascii="仿宋_GB2312" w:hAnsi="仿宋_GB2312" w:eastAsia="仿宋_GB2312" w:cs="仿宋_GB2312"/>
          <w:b/>
          <w:color w:val="000000" w:themeColor="text1"/>
          <w:sz w:val="32"/>
          <w:szCs w:val="32"/>
          <w:highlight w:val="none"/>
          <w14:textFill>
            <w14:solidFill>
              <w14:schemeClr w14:val="tx1"/>
            </w14:solidFill>
          </w14:textFill>
        </w:rPr>
        <w:t>可以否决全部</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申请</w:t>
      </w:r>
      <w:r>
        <w:rPr>
          <w:rFonts w:hint="eastAsia" w:ascii="仿宋_GB2312" w:hAnsi="仿宋_GB2312" w:eastAsia="仿宋_GB2312" w:cs="仿宋_GB2312"/>
          <w:b/>
          <w:color w:val="000000" w:themeColor="text1"/>
          <w:sz w:val="32"/>
          <w:szCs w:val="32"/>
          <w:highlight w:val="none"/>
          <w14:textFill>
            <w14:solidFill>
              <w14:schemeClr w14:val="tx1"/>
            </w14:solidFill>
          </w14:textFill>
        </w:rPr>
        <w:t>。若有效</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申请人</w:t>
      </w:r>
      <w:r>
        <w:rPr>
          <w:rFonts w:hint="eastAsia" w:ascii="仿宋_GB2312" w:hAnsi="仿宋_GB2312" w:eastAsia="仿宋_GB2312" w:cs="仿宋_GB2312"/>
          <w:b/>
          <w:color w:val="000000" w:themeColor="text1"/>
          <w:sz w:val="32"/>
          <w:szCs w:val="32"/>
          <w:highlight w:val="none"/>
          <w14:textFill>
            <w14:solidFill>
              <w14:schemeClr w14:val="tx1"/>
            </w14:solidFill>
          </w14:textFill>
        </w:rPr>
        <w:t>不足</w:t>
      </w:r>
      <w:r>
        <w:rPr>
          <w:rFonts w:hint="eastAsia" w:ascii="仿宋_GB2312" w:hAnsi="仿宋_GB2312" w:eastAsia="仿宋_GB2312" w:cs="仿宋_GB2312"/>
          <w:b/>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color w:val="000000" w:themeColor="text1"/>
          <w:sz w:val="32"/>
          <w:szCs w:val="32"/>
          <w:highlight w:val="none"/>
          <w14:textFill>
            <w14:solidFill>
              <w14:schemeClr w14:val="tx1"/>
            </w14:solidFill>
          </w14:textFill>
        </w:rPr>
        <w:t>个，且</w:t>
      </w:r>
      <w:r>
        <w:rPr>
          <w:rFonts w:hint="eastAsia" w:ascii="仿宋_GB2312" w:hAnsi="仿宋_GB2312" w:eastAsia="仿宋_GB2312" w:cs="仿宋_GB2312"/>
          <w:color w:val="000000" w:themeColor="text1"/>
          <w:sz w:val="32"/>
          <w:szCs w:val="32"/>
          <w:highlight w:val="none"/>
          <w14:textFill>
            <w14:solidFill>
              <w14:schemeClr w14:val="tx1"/>
            </w14:solidFill>
          </w14:textFill>
        </w:rPr>
        <w:t>评审</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小组</w:t>
      </w:r>
      <w:r>
        <w:rPr>
          <w:rFonts w:hint="eastAsia" w:ascii="仿宋_GB2312" w:hAnsi="仿宋_GB2312" w:eastAsia="仿宋_GB2312" w:cs="仿宋_GB2312"/>
          <w:b/>
          <w:color w:val="000000" w:themeColor="text1"/>
          <w:sz w:val="32"/>
          <w:szCs w:val="32"/>
          <w:highlight w:val="none"/>
          <w14:textFill>
            <w14:solidFill>
              <w14:schemeClr w14:val="tx1"/>
            </w14:solidFill>
          </w14:textFill>
        </w:rPr>
        <w:t>经评审认为</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谈判</w:t>
      </w:r>
      <w:r>
        <w:rPr>
          <w:rFonts w:hint="eastAsia" w:ascii="仿宋_GB2312" w:hAnsi="仿宋_GB2312" w:eastAsia="仿宋_GB2312" w:cs="仿宋_GB2312"/>
          <w:b/>
          <w:color w:val="000000" w:themeColor="text1"/>
          <w:sz w:val="32"/>
          <w:szCs w:val="32"/>
          <w:highlight w:val="none"/>
          <w14:textFill>
            <w14:solidFill>
              <w14:schemeClr w14:val="tx1"/>
            </w14:solidFill>
          </w14:textFill>
        </w:rPr>
        <w:t>仍具有竞争力时，</w:t>
      </w:r>
      <w:r>
        <w:rPr>
          <w:rFonts w:hint="eastAsia" w:ascii="仿宋_GB2312" w:hAnsi="仿宋_GB2312" w:eastAsia="仿宋_GB2312" w:cs="仿宋_GB2312"/>
          <w:color w:val="000000" w:themeColor="text1"/>
          <w:sz w:val="32"/>
          <w:szCs w:val="32"/>
          <w:highlight w:val="none"/>
          <w14:textFill>
            <w14:solidFill>
              <w14:schemeClr w14:val="tx1"/>
            </w14:solidFill>
          </w14:textFill>
        </w:rPr>
        <w:t>评审</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小组</w:t>
      </w:r>
      <w:r>
        <w:rPr>
          <w:rFonts w:hint="eastAsia" w:ascii="仿宋_GB2312" w:hAnsi="仿宋_GB2312" w:eastAsia="仿宋_GB2312" w:cs="仿宋_GB2312"/>
          <w:b/>
          <w:color w:val="000000" w:themeColor="text1"/>
          <w:sz w:val="32"/>
          <w:szCs w:val="32"/>
          <w:highlight w:val="none"/>
          <w14:textFill>
            <w14:solidFill>
              <w14:schemeClr w14:val="tx1"/>
            </w14:solidFill>
          </w14:textFill>
        </w:rPr>
        <w:t>可继续进行评审。</w:t>
      </w:r>
      <w:bookmarkStart w:id="13" w:name="_Toc522217638"/>
    </w:p>
    <w:p>
      <w:pPr>
        <w:pageBreakBefore w:val="0"/>
        <w:kinsoku/>
        <w:wordWrap/>
        <w:overflowPunct/>
        <w:topLinePunct w:val="0"/>
        <w:bidi w:val="0"/>
        <w:spacing w:line="560" w:lineRule="exact"/>
        <w:jc w:val="both"/>
        <w:rPr>
          <w:rFonts w:hint="eastAsia" w:ascii="仿宋_GB2312" w:hAnsi="仿宋_GB2312" w:eastAsia="仿宋_GB2312" w:cs="仿宋_GB2312"/>
          <w:b/>
          <w:color w:val="000000" w:themeColor="text1"/>
          <w:sz w:val="32"/>
          <w:szCs w:val="32"/>
          <w:highlight w:val="none"/>
          <w14:textFill>
            <w14:solidFill>
              <w14:schemeClr w14:val="tx1"/>
            </w14:solidFill>
          </w14:textFill>
        </w:rPr>
      </w:pPr>
    </w:p>
    <w:p>
      <w:pPr>
        <w:pageBreakBefore w:val="0"/>
        <w:kinsoku/>
        <w:wordWrap/>
        <w:overflowPunct/>
        <w:topLinePunct w:val="0"/>
        <w:bidi w:val="0"/>
        <w:spacing w:line="560" w:lineRule="exact"/>
        <w:jc w:val="both"/>
        <w:rPr>
          <w:rFonts w:hint="eastAsia" w:ascii="仿宋_GB2312" w:hAnsi="仿宋_GB2312" w:eastAsia="仿宋_GB2312" w:cs="仿宋_GB2312"/>
          <w:b/>
          <w:color w:val="000000" w:themeColor="text1"/>
          <w:sz w:val="32"/>
          <w:szCs w:val="32"/>
          <w:highlight w:val="none"/>
          <w14:textFill>
            <w14:solidFill>
              <w14:schemeClr w14:val="tx1"/>
            </w14:solidFill>
          </w14:textFill>
        </w:rPr>
      </w:pPr>
    </w:p>
    <w:p>
      <w:pPr>
        <w:pageBreakBefore w:val="0"/>
        <w:kinsoku/>
        <w:wordWrap/>
        <w:overflowPunct/>
        <w:topLinePunct w:val="0"/>
        <w:bidi w:val="0"/>
        <w:spacing w:line="560" w:lineRule="exact"/>
        <w:jc w:val="both"/>
        <w:rPr>
          <w:rFonts w:hint="eastAsia" w:ascii="仿宋_GB2312" w:hAnsi="仿宋_GB2312" w:eastAsia="仿宋_GB2312" w:cs="仿宋_GB2312"/>
          <w:b/>
          <w:color w:val="000000" w:themeColor="text1"/>
          <w:sz w:val="32"/>
          <w:szCs w:val="32"/>
          <w:highlight w:val="none"/>
          <w14:textFill>
            <w14:solidFill>
              <w14:schemeClr w14:val="tx1"/>
            </w14:solidFill>
          </w14:textFill>
        </w:rPr>
      </w:pPr>
    </w:p>
    <w:p>
      <w:pPr>
        <w:pStyle w:val="10"/>
        <w:pageBreakBefore w:val="0"/>
        <w:kinsoku/>
        <w:wordWrap/>
        <w:overflowPunct/>
        <w:topLinePunct w:val="0"/>
        <w:bidi w:val="0"/>
        <w:spacing w:line="560" w:lineRule="exact"/>
        <w:jc w:val="both"/>
        <w:rPr>
          <w:rFonts w:hint="eastAsia" w:ascii="仿宋_GB2312" w:hAnsi="仿宋_GB2312" w:eastAsia="仿宋_GB2312" w:cs="仿宋_GB2312"/>
          <w:b/>
          <w:color w:val="000000" w:themeColor="text1"/>
          <w:sz w:val="32"/>
          <w:szCs w:val="32"/>
          <w:highlight w:val="none"/>
          <w14:textFill>
            <w14:solidFill>
              <w14:schemeClr w14:val="tx1"/>
            </w14:solidFill>
          </w14:textFill>
        </w:rPr>
      </w:pPr>
    </w:p>
    <w:p>
      <w:pPr>
        <w:pStyle w:val="10"/>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p>
    <w:p>
      <w:pPr>
        <w:pStyle w:val="10"/>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10"/>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10"/>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10"/>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10"/>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10"/>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10"/>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10"/>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10"/>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10"/>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10"/>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10"/>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10"/>
        <w:pageBreakBefore w:val="0"/>
        <w:kinsoku/>
        <w:wordWrap/>
        <w:overflowPunct/>
        <w:topLinePunct w:val="0"/>
        <w:bidi w:val="0"/>
        <w:spacing w:line="560" w:lineRule="exact"/>
        <w:jc w:val="center"/>
        <w:rPr>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highlight w:val="none"/>
          <w:lang w:eastAsia="zh-CN"/>
          <w14:textFill>
            <w14:solidFill>
              <w14:schemeClr w14:val="tx1"/>
            </w14:solidFill>
          </w14:textFill>
        </w:rPr>
        <w:t>常年法律顾问服务</w:t>
      </w:r>
      <w:r>
        <w:rPr>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t>需求</w:t>
      </w:r>
      <w:bookmarkEnd w:id="13"/>
    </w:p>
    <w:p>
      <w:pPr>
        <w:pStyle w:val="3"/>
        <w:pageBreakBefore w:val="0"/>
        <w:kinsoku/>
        <w:wordWrap/>
        <w:overflowPunct/>
        <w:topLinePunct w:val="0"/>
        <w:bidi w:val="0"/>
        <w:spacing w:line="560" w:lineRule="exact"/>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bookmarkStart w:id="14" w:name="_Toc496778933"/>
      <w:bookmarkStart w:id="15" w:name="_Toc522217639"/>
      <w:r>
        <w:rPr>
          <w:rFonts w:hint="eastAsia" w:ascii="仿宋_GB2312" w:hAnsi="仿宋_GB2312" w:eastAsia="仿宋_GB2312" w:cs="仿宋_GB2312"/>
          <w:sz w:val="32"/>
          <w:szCs w:val="32"/>
          <w:highlight w:val="none"/>
          <w:lang w:eastAsia="zh-CN"/>
        </w:rPr>
        <w:t>服务</w:t>
      </w:r>
      <w:r>
        <w:rPr>
          <w:rFonts w:hint="eastAsia" w:ascii="仿宋_GB2312" w:hAnsi="仿宋_GB2312" w:eastAsia="仿宋_GB2312" w:cs="仿宋_GB2312"/>
          <w:sz w:val="32"/>
          <w:szCs w:val="32"/>
          <w:highlight w:val="none"/>
        </w:rPr>
        <w:t>需求内容（包括但不限于）</w:t>
      </w:r>
      <w:bookmarkEnd w:id="14"/>
      <w:bookmarkEnd w:id="15"/>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公司相关文书法律支持</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起草、审查、修订对外联系活动中的合同、协议（包括</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集团内部</w:t>
      </w:r>
      <w:r>
        <w:rPr>
          <w:rFonts w:hint="eastAsia" w:ascii="仿宋_GB2312" w:hAnsi="仿宋_GB2312" w:eastAsia="仿宋_GB2312" w:cs="仿宋_GB2312"/>
          <w:color w:val="000000" w:themeColor="text1"/>
          <w:sz w:val="32"/>
          <w:szCs w:val="32"/>
          <w:highlight w:val="none"/>
          <w14:textFill>
            <w14:solidFill>
              <w14:schemeClr w14:val="tx1"/>
            </w14:solidFill>
          </w14:textFill>
        </w:rPr>
        <w:t>协议、文书等），以及其他有关法律事务文书和资料，做好合同审查和法律支持工作，参与合同谈判工作。</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14:textFill>
            <w14:solidFill>
              <w14:schemeClr w14:val="tx1"/>
            </w14:solidFill>
          </w14:textFill>
        </w:rPr>
        <w:t>公司风险控制</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结合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公司</w:t>
      </w:r>
      <w:r>
        <w:rPr>
          <w:rFonts w:hint="eastAsia" w:ascii="仿宋_GB2312" w:hAnsi="仿宋_GB2312" w:eastAsia="仿宋_GB2312" w:cs="仿宋_GB2312"/>
          <w:color w:val="000000" w:themeColor="text1"/>
          <w:sz w:val="32"/>
          <w:szCs w:val="32"/>
          <w:highlight w:val="none"/>
          <w14:textFill>
            <w14:solidFill>
              <w14:schemeClr w14:val="tx1"/>
            </w14:solidFill>
          </w14:textFill>
        </w:rPr>
        <w:t>的经营管理情况，及时为公司决策提供动态法律咨询服务。针对公司日常经营活动提出风险控制措施、处理办法及法律意见书。</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提供与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公司</w:t>
      </w:r>
      <w:r>
        <w:rPr>
          <w:rFonts w:hint="eastAsia" w:ascii="仿宋_GB2312" w:hAnsi="仿宋_GB2312" w:eastAsia="仿宋_GB2312" w:cs="仿宋_GB2312"/>
          <w:color w:val="000000" w:themeColor="text1"/>
          <w:sz w:val="32"/>
          <w:szCs w:val="32"/>
          <w:highlight w:val="none"/>
          <w14:textFill>
            <w14:solidFill>
              <w14:schemeClr w14:val="tx1"/>
            </w14:solidFill>
          </w14:textFill>
        </w:rPr>
        <w:t>活动有关的法律信息，解答法律询问和咨询，依法提供建议或者出具法律意见书，提出明确的解决方案；</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公司</w:t>
      </w:r>
      <w:r>
        <w:rPr>
          <w:rFonts w:hint="eastAsia" w:ascii="仿宋_GB2312" w:hAnsi="仿宋_GB2312" w:eastAsia="仿宋_GB2312" w:cs="仿宋_GB2312"/>
          <w:color w:val="000000" w:themeColor="text1"/>
          <w:sz w:val="32"/>
          <w:szCs w:val="32"/>
          <w:highlight w:val="none"/>
          <w14:textFill>
            <w14:solidFill>
              <w14:schemeClr w14:val="tx1"/>
            </w14:solidFill>
          </w14:textFill>
        </w:rPr>
        <w:t>的经营进展，提供资本运作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及业务</w:t>
      </w:r>
      <w:r>
        <w:rPr>
          <w:rFonts w:hint="eastAsia" w:ascii="仿宋_GB2312" w:hAnsi="仿宋_GB2312" w:eastAsia="仿宋_GB2312" w:cs="仿宋_GB2312"/>
          <w:color w:val="000000" w:themeColor="text1"/>
          <w:sz w:val="32"/>
          <w:szCs w:val="32"/>
          <w:highlight w:val="none"/>
          <w14:textFill>
            <w14:solidFill>
              <w14:schemeClr w14:val="tx1"/>
            </w14:solidFill>
          </w14:textFill>
        </w:rPr>
        <w:t>相关的法律咨询服务。</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14:textFill>
            <w14:solidFill>
              <w14:schemeClr w14:val="tx1"/>
            </w14:solidFill>
          </w14:textFill>
        </w:rPr>
        <w:t>招标采购业务法律支持</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协助公司建立业务风险防控体系，提供业务方面的法律咨询、提出法律意见书。</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对项目方案的法律可行性进行论证分析，确保方案各环节合规，符合相关政策要求。</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招投标过程中质疑投诉处理的相关法律问题咨询和处理。</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highlight w:val="none"/>
          <w14:textFill>
            <w14:solidFill>
              <w14:schemeClr w14:val="tx1"/>
            </w14:solidFill>
          </w14:textFill>
        </w:rPr>
        <w:t>投融资等业务咨询</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对公司投资、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并购</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、重组、融资等公司行为涉及的法律问题提供咨询服务，必要时出具法律意见书。 </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协助公司办理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业务所涉</w:t>
      </w:r>
      <w:r>
        <w:rPr>
          <w:rFonts w:hint="eastAsia" w:ascii="仿宋_GB2312" w:hAnsi="仿宋_GB2312" w:eastAsia="仿宋_GB2312" w:cs="仿宋_GB2312"/>
          <w:color w:val="000000" w:themeColor="text1"/>
          <w:sz w:val="32"/>
          <w:szCs w:val="32"/>
          <w:highlight w:val="none"/>
          <w14:textFill>
            <w14:solidFill>
              <w14:schemeClr w14:val="tx1"/>
            </w14:solidFill>
          </w14:textFill>
        </w:rPr>
        <w:t>工商登记、公证、抵押登记、质押登记（如有需要）等相关手续。</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highlight w:val="none"/>
          <w14:textFill>
            <w14:solidFill>
              <w14:schemeClr w14:val="tx1"/>
            </w14:solidFill>
          </w14:textFill>
        </w:rPr>
        <w:t>财务管理</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涉及到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公司</w:t>
      </w:r>
      <w:r>
        <w:rPr>
          <w:rFonts w:hint="eastAsia" w:ascii="仿宋_GB2312" w:hAnsi="仿宋_GB2312" w:eastAsia="仿宋_GB2312" w:cs="仿宋_GB2312"/>
          <w:color w:val="000000" w:themeColor="text1"/>
          <w:sz w:val="32"/>
          <w:szCs w:val="32"/>
          <w:highlight w:val="none"/>
          <w14:textFill>
            <w14:solidFill>
              <w14:schemeClr w14:val="tx1"/>
            </w14:solidFill>
          </w14:textFill>
        </w:rPr>
        <w:t>财务管理方面的法律咨询服务。</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14:textFill>
            <w14:solidFill>
              <w14:schemeClr w14:val="tx1"/>
            </w14:solidFill>
          </w14:textFill>
        </w:rPr>
        <w:t>重大事项</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参与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公司</w:t>
      </w:r>
      <w:r>
        <w:rPr>
          <w:rFonts w:hint="eastAsia" w:ascii="仿宋_GB2312" w:hAnsi="仿宋_GB2312" w:eastAsia="仿宋_GB2312" w:cs="仿宋_GB2312"/>
          <w:color w:val="000000" w:themeColor="text1"/>
          <w:sz w:val="32"/>
          <w:szCs w:val="32"/>
          <w:highlight w:val="none"/>
          <w14:textFill>
            <w14:solidFill>
              <w14:schemeClr w14:val="tx1"/>
            </w14:solidFill>
          </w14:textFill>
        </w:rPr>
        <w:t>重大项目的谈判和重大事项的处理，协助关键性文件的谈判和起草、审核、把关，进行法律分析，出据法律意见书、律师函。</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法律报告</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每年末应向公司汇报本年度企业运营过程中存在的法律风险，并提出对策和建议（年度报告）。</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法律培训</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按照公司制订的培训计划，协助开展法治宣传、培训工作；每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季度</w:t>
      </w:r>
      <w:r>
        <w:rPr>
          <w:rFonts w:hint="eastAsia" w:ascii="仿宋_GB2312" w:hAnsi="仿宋_GB2312" w:eastAsia="仿宋_GB2312" w:cs="仿宋_GB2312"/>
          <w:color w:val="000000" w:themeColor="text1"/>
          <w:sz w:val="32"/>
          <w:szCs w:val="32"/>
          <w:highlight w:val="none"/>
          <w14:textFill>
            <w14:solidFill>
              <w14:schemeClr w14:val="tx1"/>
            </w14:solidFill>
          </w14:textFill>
        </w:rPr>
        <w:t>至少提供一次与公司业务相关的法律培训。</w:t>
      </w:r>
    </w:p>
    <w:p>
      <w:pPr>
        <w:pStyle w:val="9"/>
        <w:pageBreakBefore w:val="0"/>
        <w:widowControl w:val="0"/>
        <w:kinsoku/>
        <w:wordWrap/>
        <w:overflowPunct/>
        <w:topLinePunct w:val="0"/>
        <w:bidi w:val="0"/>
        <w:spacing w:before="0" w:beforeAutospacing="0" w:after="0" w:afterAutospacing="0" w:line="560" w:lineRule="exact"/>
        <w:ind w:firstLine="774" w:firstLineChars="242"/>
        <w:jc w:val="both"/>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其他受委托的常年法律服务。</w:t>
      </w:r>
    </w:p>
    <w:p>
      <w:pPr>
        <w:pageBreakBefore w:val="0"/>
        <w:kinsoku/>
        <w:wordWrap/>
        <w:overflowPunct/>
        <w:topLinePunct w:val="0"/>
        <w:bidi w:val="0"/>
        <w:spacing w:line="560" w:lineRule="exact"/>
        <w:jc w:val="both"/>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MyriadMM_700_300_">
    <w:altName w:val="Arial"/>
    <w:panose1 w:val="00000000000000000000"/>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140" w:firstLineChars="2300"/>
    </w:pPr>
    <w:r>
      <w:fldChar w:fldCharType="begin"/>
    </w:r>
    <w:r>
      <w:instrText xml:space="preserve"> PAGE   \* MERGEFORMAT </w:instrText>
    </w:r>
    <w:r>
      <w:fldChar w:fldCharType="separate"/>
    </w:r>
    <w:r>
      <w:rPr>
        <w:lang w:val="zh-CN"/>
      </w:rPr>
      <w:t>33</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C52A0"/>
    <w:rsid w:val="004155BA"/>
    <w:rsid w:val="00D20C33"/>
    <w:rsid w:val="00FB1084"/>
    <w:rsid w:val="039630F1"/>
    <w:rsid w:val="04507CB7"/>
    <w:rsid w:val="04580ED9"/>
    <w:rsid w:val="04631497"/>
    <w:rsid w:val="06EF6690"/>
    <w:rsid w:val="074B19F4"/>
    <w:rsid w:val="08A301CE"/>
    <w:rsid w:val="098F2E96"/>
    <w:rsid w:val="0ACD45A0"/>
    <w:rsid w:val="0BB268CB"/>
    <w:rsid w:val="0C470518"/>
    <w:rsid w:val="0CEE7BFE"/>
    <w:rsid w:val="0E2D3447"/>
    <w:rsid w:val="0FF6533F"/>
    <w:rsid w:val="116972D7"/>
    <w:rsid w:val="1440073B"/>
    <w:rsid w:val="16A143AB"/>
    <w:rsid w:val="16B80F95"/>
    <w:rsid w:val="17104BAA"/>
    <w:rsid w:val="17EA50B4"/>
    <w:rsid w:val="18284E85"/>
    <w:rsid w:val="18560A73"/>
    <w:rsid w:val="19CD5EBE"/>
    <w:rsid w:val="1A825433"/>
    <w:rsid w:val="1CD15506"/>
    <w:rsid w:val="1DCC642F"/>
    <w:rsid w:val="1F8E338C"/>
    <w:rsid w:val="20DE7729"/>
    <w:rsid w:val="21F97270"/>
    <w:rsid w:val="244F5B81"/>
    <w:rsid w:val="26EE3ADD"/>
    <w:rsid w:val="28BB30BE"/>
    <w:rsid w:val="2B8D1DE5"/>
    <w:rsid w:val="324A33AD"/>
    <w:rsid w:val="32BA30D8"/>
    <w:rsid w:val="34225CF6"/>
    <w:rsid w:val="344F788C"/>
    <w:rsid w:val="34EB750E"/>
    <w:rsid w:val="35612361"/>
    <w:rsid w:val="37443AE6"/>
    <w:rsid w:val="37EE2041"/>
    <w:rsid w:val="390836FB"/>
    <w:rsid w:val="3A9F55F5"/>
    <w:rsid w:val="3B15480E"/>
    <w:rsid w:val="3C31104D"/>
    <w:rsid w:val="40EB3310"/>
    <w:rsid w:val="43721A6C"/>
    <w:rsid w:val="43E80F76"/>
    <w:rsid w:val="45B83FA9"/>
    <w:rsid w:val="46E804D8"/>
    <w:rsid w:val="47CD7A7D"/>
    <w:rsid w:val="47F52683"/>
    <w:rsid w:val="47F73AE4"/>
    <w:rsid w:val="492E645C"/>
    <w:rsid w:val="4A9B57BD"/>
    <w:rsid w:val="4A9D0DB8"/>
    <w:rsid w:val="4AE8240D"/>
    <w:rsid w:val="4B7C52A0"/>
    <w:rsid w:val="4EBA3237"/>
    <w:rsid w:val="511B0443"/>
    <w:rsid w:val="51800B47"/>
    <w:rsid w:val="52611991"/>
    <w:rsid w:val="52EE0DE9"/>
    <w:rsid w:val="54D4409D"/>
    <w:rsid w:val="54F36A5E"/>
    <w:rsid w:val="56FC51AA"/>
    <w:rsid w:val="57D736BE"/>
    <w:rsid w:val="5A251BA4"/>
    <w:rsid w:val="5B13223D"/>
    <w:rsid w:val="5B2F384C"/>
    <w:rsid w:val="5BC92FD8"/>
    <w:rsid w:val="5C4D0437"/>
    <w:rsid w:val="5E3D1260"/>
    <w:rsid w:val="5FCE0048"/>
    <w:rsid w:val="60667ADE"/>
    <w:rsid w:val="6084523E"/>
    <w:rsid w:val="628F764D"/>
    <w:rsid w:val="631C6B68"/>
    <w:rsid w:val="63FF1EF9"/>
    <w:rsid w:val="65120F8E"/>
    <w:rsid w:val="663B2EF9"/>
    <w:rsid w:val="66D94639"/>
    <w:rsid w:val="67544ED6"/>
    <w:rsid w:val="679772A7"/>
    <w:rsid w:val="6833527E"/>
    <w:rsid w:val="6871015E"/>
    <w:rsid w:val="6A73294F"/>
    <w:rsid w:val="6B581ECC"/>
    <w:rsid w:val="6C4C3546"/>
    <w:rsid w:val="6D007793"/>
    <w:rsid w:val="6F6612A1"/>
    <w:rsid w:val="7370307A"/>
    <w:rsid w:val="73EB110B"/>
    <w:rsid w:val="745927D7"/>
    <w:rsid w:val="75996D74"/>
    <w:rsid w:val="76510E73"/>
    <w:rsid w:val="78D1427F"/>
    <w:rsid w:val="79343719"/>
    <w:rsid w:val="794B4A30"/>
    <w:rsid w:val="7D5B0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autoSpaceDE w:val="0"/>
      <w:autoSpaceDN w:val="0"/>
      <w:adjustRightInd w:val="0"/>
      <w:jc w:val="left"/>
      <w:outlineLvl w:val="0"/>
    </w:pPr>
    <w:rPr>
      <w:rFonts w:ascii="仿宋_GB2312" w:hAnsi="MyriadMM_700_300_" w:eastAsia="仿宋_GB2312"/>
      <w:b/>
      <w:bCs/>
      <w:color w:val="000000"/>
      <w:kern w:val="0"/>
      <w:sz w:val="28"/>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tabs>
        <w:tab w:val="left" w:pos="900"/>
      </w:tabs>
      <w:adjustRightInd w:val="0"/>
      <w:spacing w:before="120" w:line="360" w:lineRule="auto"/>
      <w:textAlignment w:val="baseline"/>
      <w:outlineLvl w:val="2"/>
    </w:pPr>
    <w:rPr>
      <w:rFonts w:eastAsia="黑体"/>
      <w:b/>
      <w:kern w:val="0"/>
      <w:sz w:val="28"/>
      <w:szCs w:val="20"/>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Plain Text"/>
    <w:basedOn w:val="1"/>
    <w:next w:val="1"/>
    <w:qFormat/>
    <w:uiPriority w:val="0"/>
    <w:pPr>
      <w:autoSpaceDE w:val="0"/>
      <w:autoSpaceDN w:val="0"/>
      <w:adjustRightInd w:val="0"/>
      <w:jc w:val="left"/>
    </w:pPr>
    <w:rPr>
      <w:rFonts w:ascii="宋体"/>
      <w:szCs w:val="24"/>
    </w:rPr>
  </w:style>
  <w:style w:type="paragraph" w:styleId="7">
    <w:name w:val="Date"/>
    <w:basedOn w:val="1"/>
    <w:next w:val="1"/>
    <w:qFormat/>
    <w:uiPriority w:val="0"/>
    <w:pPr>
      <w:autoSpaceDE w:val="0"/>
      <w:autoSpaceDN w:val="0"/>
      <w:adjustRightInd w:val="0"/>
      <w:ind w:left="100"/>
      <w:jc w:val="left"/>
    </w:pPr>
    <w:rPr>
      <w:rFonts w:ascii="宋体"/>
      <w:kern w:val="0"/>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next w:val="1"/>
    <w:qFormat/>
    <w:uiPriority w:val="0"/>
    <w:pPr>
      <w:spacing w:before="240" w:after="60"/>
      <w:jc w:val="center"/>
      <w:outlineLvl w:val="0"/>
    </w:pPr>
    <w:rPr>
      <w:rFonts w:ascii="Cambria" w:hAnsi="Cambria"/>
      <w:b/>
      <w:bCs/>
      <w:sz w:val="32"/>
      <w:szCs w:val="32"/>
    </w:rPr>
  </w:style>
  <w:style w:type="character" w:styleId="13">
    <w:name w:val="Hyperlink"/>
    <w:basedOn w:val="12"/>
    <w:qFormat/>
    <w:uiPriority w:val="0"/>
    <w:rPr>
      <w:color w:val="1F1F1F"/>
      <w:u w:val="none"/>
    </w:rPr>
  </w:style>
  <w:style w:type="paragraph" w:customStyle="1" w:styleId="14">
    <w:name w:val="列出段落2"/>
    <w:basedOn w:val="1"/>
    <w:unhideWhenUsed/>
    <w:qFormat/>
    <w:uiPriority w:val="34"/>
    <w:pPr>
      <w:ind w:firstLine="420" w:firstLineChars="200"/>
    </w:pPr>
    <w:rPr>
      <w:szCs w:val="20"/>
    </w:rPr>
  </w:style>
  <w:style w:type="paragraph" w:customStyle="1" w:styleId="15">
    <w:name w:val="列出段落1"/>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2020-04-22T06:38:00Z</dcterms:created>
  <dc:creator>风控审核（zyx）</dc:creator>
  <cp:lastModifiedBy>风控初审（陈明鉴）</cp:lastModifiedBy>
  <dcterms:modified xsi:type="dcterms:W3CDTF">2020-06-05T07:04:02Z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