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201" w:tblpY="583"/>
        <w:tblOverlap w:val="never"/>
        <w:tblW w:w="10208" w:type="dxa"/>
        <w:tblInd w:w="0" w:type="dxa"/>
        <w:tblLayout w:type="fixed"/>
        <w:tblCellMar>
          <w:top w:w="0" w:type="dxa"/>
          <w:left w:w="0" w:type="dxa"/>
          <w:bottom w:w="0" w:type="dxa"/>
          <w:right w:w="0" w:type="dxa"/>
        </w:tblCellMar>
      </w:tblPr>
      <w:tblGrid>
        <w:gridCol w:w="780"/>
        <w:gridCol w:w="1035"/>
        <w:gridCol w:w="784"/>
        <w:gridCol w:w="1301"/>
        <w:gridCol w:w="4099"/>
        <w:gridCol w:w="2209"/>
      </w:tblGrid>
      <w:tr>
        <w:tblPrEx>
          <w:tblCellMar>
            <w:top w:w="0" w:type="dxa"/>
            <w:left w:w="0" w:type="dxa"/>
            <w:bottom w:w="0" w:type="dxa"/>
            <w:right w:w="0" w:type="dxa"/>
          </w:tblCellMar>
        </w:tblPrEx>
        <w:trPr>
          <w:trHeight w:val="1140" w:hRule="atLeast"/>
        </w:trPr>
        <w:tc>
          <w:tcPr>
            <w:tcW w:w="1020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安宁市新三农投资开发</w:t>
            </w:r>
            <w:bookmarkStart w:id="0" w:name="_GoBack"/>
            <w:bookmarkEnd w:id="0"/>
            <w:r>
              <w:rPr>
                <w:rFonts w:hint="eastAsia" w:ascii="宋体" w:hAnsi="宋体" w:eastAsia="宋体" w:cs="宋体"/>
                <w:b/>
                <w:i w:val="0"/>
                <w:color w:val="auto"/>
                <w:kern w:val="0"/>
                <w:sz w:val="36"/>
                <w:szCs w:val="36"/>
                <w:u w:val="none"/>
                <w:lang w:val="en-US" w:eastAsia="zh-CN" w:bidi="ar"/>
              </w:rPr>
              <w:t>有限公司招标代理机构服务采购项目选聘综合评分表</w:t>
            </w:r>
          </w:p>
        </w:tc>
      </w:tr>
      <w:tr>
        <w:tblPrEx>
          <w:tblCellMar>
            <w:top w:w="0" w:type="dxa"/>
            <w:left w:w="0" w:type="dxa"/>
            <w:bottom w:w="0" w:type="dxa"/>
            <w:right w:w="0" w:type="dxa"/>
          </w:tblCellMar>
        </w:tblPrEx>
        <w:trPr>
          <w:trHeight w:val="920" w:hRule="atLeast"/>
        </w:trPr>
        <w:tc>
          <w:tcPr>
            <w:tcW w:w="10208"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auto"/>
                <w:sz w:val="28"/>
                <w:szCs w:val="28"/>
                <w:u w:val="none"/>
              </w:rPr>
            </w:pPr>
            <w:r>
              <w:rPr>
                <w:rFonts w:hint="eastAsia" w:ascii="仿宋_GB2312" w:hAnsi="宋体" w:eastAsia="仿宋_GB2312" w:cs="仿宋_GB2312"/>
                <w:i w:val="0"/>
                <w:color w:val="auto"/>
                <w:kern w:val="0"/>
                <w:sz w:val="28"/>
                <w:szCs w:val="28"/>
                <w:u w:val="none"/>
                <w:lang w:val="en-US" w:eastAsia="zh-CN" w:bidi="ar"/>
              </w:rPr>
              <w:t>报名单位：</w:t>
            </w:r>
          </w:p>
        </w:tc>
      </w:tr>
      <w:tr>
        <w:tblPrEx>
          <w:tblCellMar>
            <w:top w:w="0" w:type="dxa"/>
            <w:left w:w="0" w:type="dxa"/>
            <w:bottom w:w="0" w:type="dxa"/>
            <w:right w:w="0" w:type="dxa"/>
          </w:tblCellMar>
        </w:tblPrEx>
        <w:trPr>
          <w:trHeight w:val="540" w:hRule="atLeast"/>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序号</w:t>
            </w:r>
          </w:p>
        </w:tc>
        <w:tc>
          <w:tcPr>
            <w:tcW w:w="18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评分因素</w:t>
            </w:r>
          </w:p>
        </w:tc>
        <w:tc>
          <w:tcPr>
            <w:tcW w:w="13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分值</w:t>
            </w: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评分标准</w:t>
            </w:r>
          </w:p>
        </w:tc>
        <w:tc>
          <w:tcPr>
            <w:tcW w:w="2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得分</w:t>
            </w:r>
          </w:p>
        </w:tc>
      </w:tr>
      <w:tr>
        <w:tblPrEx>
          <w:tblCellMar>
            <w:top w:w="0" w:type="dxa"/>
            <w:left w:w="0" w:type="dxa"/>
            <w:bottom w:w="0" w:type="dxa"/>
            <w:right w:w="0" w:type="dxa"/>
          </w:tblCellMar>
        </w:tblPrEx>
        <w:trPr>
          <w:trHeight w:val="940" w:hRule="atLeast"/>
        </w:trPr>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一</w:t>
            </w:r>
          </w:p>
        </w:tc>
        <w:tc>
          <w:tcPr>
            <w:tcW w:w="181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资格</w:t>
            </w:r>
          </w:p>
        </w:tc>
        <w:tc>
          <w:tcPr>
            <w:tcW w:w="13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w:t>
            </w: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1.经国家工商行政管理部门登记注册的独立企业（事业）法人或组织，具备有效的营业执照，且名称与营业执照一致；</w:t>
            </w:r>
          </w:p>
        </w:tc>
        <w:tc>
          <w:tcPr>
            <w:tcW w:w="2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Wingdings" w:hAnsi="Wingdings" w:eastAsia="宋体" w:cs="Wingdings"/>
                <w:i w:val="0"/>
                <w:color w:val="auto"/>
                <w:sz w:val="24"/>
                <w:szCs w:val="24"/>
                <w:u w:val="none"/>
              </w:rPr>
            </w:pPr>
            <w:r>
              <w:rPr>
                <w:rStyle w:val="6"/>
                <w:rFonts w:eastAsia="宋体"/>
                <w:color w:val="auto"/>
                <w:lang w:val="en-US" w:eastAsia="zh-CN" w:bidi="ar"/>
              </w:rPr>
              <w:t>¨</w:t>
            </w:r>
            <w:r>
              <w:rPr>
                <w:rStyle w:val="7"/>
                <w:rFonts w:hAnsi="Wingdings"/>
                <w:color w:val="auto"/>
                <w:lang w:val="en-US" w:eastAsia="zh-CN" w:bidi="ar"/>
              </w:rPr>
              <w:t xml:space="preserve">合格 </w:t>
            </w:r>
            <w:r>
              <w:rPr>
                <w:rStyle w:val="6"/>
                <w:rFonts w:eastAsia="宋体"/>
                <w:color w:val="auto"/>
                <w:lang w:val="en-US" w:eastAsia="zh-CN" w:bidi="ar"/>
              </w:rPr>
              <w:t>¨</w:t>
            </w:r>
            <w:r>
              <w:rPr>
                <w:rStyle w:val="7"/>
                <w:rFonts w:hAnsi="Wingdings"/>
                <w:color w:val="auto"/>
                <w:lang w:val="en-US" w:eastAsia="zh-CN" w:bidi="ar"/>
              </w:rPr>
              <w:t>不合格</w:t>
            </w:r>
          </w:p>
        </w:tc>
      </w:tr>
      <w:tr>
        <w:tblPrEx>
          <w:tblCellMar>
            <w:top w:w="0" w:type="dxa"/>
            <w:left w:w="0" w:type="dxa"/>
            <w:bottom w:w="0" w:type="dxa"/>
            <w:right w:w="0" w:type="dxa"/>
          </w:tblCellMar>
        </w:tblPrEx>
        <w:trPr>
          <w:trHeight w:val="1620" w:hRule="atLeast"/>
        </w:trPr>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1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2.咨询单位</w:t>
            </w:r>
            <w:r>
              <w:rPr>
                <w:rFonts w:hint="eastAsia" w:ascii="仿宋_GB2312" w:hAnsi="宋体" w:cs="仿宋_GB2312"/>
                <w:i w:val="0"/>
                <w:color w:val="auto"/>
                <w:kern w:val="0"/>
                <w:sz w:val="24"/>
                <w:szCs w:val="24"/>
                <w:highlight w:val="none"/>
                <w:u w:val="none"/>
                <w:lang w:val="en-US" w:eastAsia="zh-CN" w:bidi="ar"/>
              </w:rPr>
              <w:t>近三年</w:t>
            </w:r>
            <w:r>
              <w:rPr>
                <w:rFonts w:hint="eastAsia" w:ascii="仿宋_GB2312" w:hAnsi="宋体" w:eastAsia="仿宋_GB2312" w:cs="仿宋_GB2312"/>
                <w:i w:val="0"/>
                <w:color w:val="auto"/>
                <w:kern w:val="0"/>
                <w:sz w:val="24"/>
                <w:szCs w:val="24"/>
                <w:u w:val="none"/>
                <w:lang w:val="en-US" w:eastAsia="zh-CN" w:bidi="ar"/>
              </w:rPr>
              <w:t>（2020年-至今）独立承担过</w:t>
            </w:r>
            <w:r>
              <w:rPr>
                <w:rFonts w:hint="eastAsia" w:ascii="仿宋_GB2312" w:hAnsi="宋体" w:cs="仿宋_GB2312"/>
                <w:i w:val="0"/>
                <w:color w:val="auto"/>
                <w:kern w:val="0"/>
                <w:sz w:val="24"/>
                <w:szCs w:val="24"/>
                <w:u w:val="none"/>
                <w:lang w:val="en-US" w:eastAsia="zh-CN" w:bidi="ar"/>
              </w:rPr>
              <w:t>至少1</w:t>
            </w:r>
            <w:r>
              <w:rPr>
                <w:rFonts w:hint="eastAsia" w:ascii="仿宋_GB2312" w:hAnsi="宋体" w:eastAsia="仿宋_GB2312" w:cs="仿宋_GB2312"/>
                <w:i w:val="0"/>
                <w:color w:val="auto"/>
                <w:kern w:val="0"/>
                <w:sz w:val="24"/>
                <w:szCs w:val="24"/>
                <w:u w:val="none"/>
                <w:lang w:val="en-US" w:eastAsia="zh-CN" w:bidi="ar"/>
              </w:rPr>
              <w:t>个不低于</w:t>
            </w:r>
            <w:r>
              <w:rPr>
                <w:rFonts w:hint="eastAsia" w:ascii="仿宋_GB2312" w:hAnsi="宋体" w:cs="仿宋_GB2312"/>
                <w:i w:val="0"/>
                <w:color w:val="auto"/>
                <w:kern w:val="0"/>
                <w:sz w:val="24"/>
                <w:szCs w:val="24"/>
                <w:u w:val="none"/>
                <w:lang w:val="en-US" w:eastAsia="zh-CN" w:bidi="ar"/>
              </w:rPr>
              <w:t>1000万</w:t>
            </w:r>
            <w:r>
              <w:rPr>
                <w:rFonts w:hint="eastAsia" w:ascii="仿宋_GB2312" w:hAnsi="宋体" w:eastAsia="仿宋_GB2312" w:cs="仿宋_GB2312"/>
                <w:i w:val="0"/>
                <w:color w:val="auto"/>
                <w:kern w:val="0"/>
                <w:sz w:val="24"/>
                <w:szCs w:val="24"/>
                <w:u w:val="none"/>
                <w:lang w:val="en-US" w:eastAsia="zh-CN" w:bidi="ar"/>
              </w:rPr>
              <w:t>元</w:t>
            </w:r>
            <w:r>
              <w:rPr>
                <w:rFonts w:hint="eastAsia" w:ascii="仿宋_GB2312" w:hAnsi="宋体" w:cs="仿宋_GB2312"/>
                <w:i w:val="0"/>
                <w:color w:val="auto"/>
                <w:kern w:val="0"/>
                <w:sz w:val="24"/>
                <w:szCs w:val="24"/>
                <w:u w:val="none"/>
                <w:lang w:val="en-US" w:eastAsia="zh-CN" w:bidi="ar"/>
              </w:rPr>
              <w:t>工程施工类</w:t>
            </w:r>
            <w:r>
              <w:rPr>
                <w:rFonts w:hint="eastAsia" w:ascii="仿宋_GB2312" w:hAnsi="宋体" w:eastAsia="仿宋_GB2312" w:cs="仿宋_GB2312"/>
                <w:i w:val="0"/>
                <w:color w:val="auto"/>
                <w:kern w:val="0"/>
                <w:sz w:val="24"/>
                <w:szCs w:val="24"/>
                <w:u w:val="none"/>
                <w:lang w:val="en-US" w:eastAsia="zh-CN" w:bidi="ar"/>
              </w:rPr>
              <w:t>招标工作业绩（业绩证明材料为合同协议书</w:t>
            </w:r>
            <w:r>
              <w:rPr>
                <w:rFonts w:hint="eastAsia" w:ascii="仿宋_GB2312" w:hAnsi="宋体" w:cs="仿宋_GB2312"/>
                <w:i w:val="0"/>
                <w:color w:val="auto"/>
                <w:kern w:val="0"/>
                <w:sz w:val="24"/>
                <w:szCs w:val="24"/>
                <w:u w:val="none"/>
                <w:lang w:val="en-US" w:eastAsia="zh-CN" w:bidi="ar"/>
              </w:rPr>
              <w:t>、招标公告截图、</w:t>
            </w:r>
            <w:r>
              <w:rPr>
                <w:rFonts w:hint="eastAsia" w:ascii="仿宋_GB2312" w:hAnsi="宋体" w:eastAsia="仿宋_GB2312" w:cs="仿宋_GB2312"/>
                <w:i w:val="0"/>
                <w:color w:val="auto"/>
                <w:kern w:val="0"/>
                <w:sz w:val="24"/>
                <w:szCs w:val="24"/>
                <w:u w:val="none"/>
                <w:lang w:val="en-US" w:eastAsia="zh-CN" w:bidi="ar"/>
              </w:rPr>
              <w:t>中标通知书</w:t>
            </w:r>
            <w:r>
              <w:rPr>
                <w:rFonts w:hint="eastAsia" w:ascii="仿宋_GB2312" w:hAnsi="宋体" w:cs="仿宋_GB2312"/>
                <w:i w:val="0"/>
                <w:color w:val="auto"/>
                <w:kern w:val="0"/>
                <w:sz w:val="24"/>
                <w:szCs w:val="24"/>
                <w:u w:val="none"/>
                <w:lang w:val="en-US" w:eastAsia="zh-CN" w:bidi="ar"/>
              </w:rPr>
              <w:t>等</w:t>
            </w:r>
            <w:r>
              <w:rPr>
                <w:rFonts w:hint="eastAsia" w:ascii="仿宋_GB2312" w:hAnsi="宋体" w:eastAsia="仿宋_GB2312" w:cs="仿宋_GB2312"/>
                <w:i w:val="0"/>
                <w:color w:val="auto"/>
                <w:kern w:val="0"/>
                <w:sz w:val="24"/>
                <w:szCs w:val="24"/>
                <w:u w:val="none"/>
                <w:lang w:val="en-US" w:eastAsia="zh-CN" w:bidi="ar"/>
              </w:rPr>
              <w:t>）</w:t>
            </w:r>
            <w:r>
              <w:rPr>
                <w:rFonts w:hint="eastAsia" w:ascii="仿宋_GB2312" w:hAnsi="宋体" w:cs="仿宋_GB2312"/>
                <w:i w:val="0"/>
                <w:color w:val="auto"/>
                <w:kern w:val="0"/>
                <w:sz w:val="24"/>
                <w:szCs w:val="24"/>
                <w:u w:val="none"/>
                <w:lang w:val="en-US" w:eastAsia="zh-CN" w:bidi="ar"/>
              </w:rPr>
              <w:t>；</w:t>
            </w:r>
          </w:p>
        </w:tc>
        <w:tc>
          <w:tcPr>
            <w:tcW w:w="2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Wingdings" w:hAnsi="Wingdings" w:eastAsia="宋体" w:cs="Wingdings"/>
                <w:i w:val="0"/>
                <w:color w:val="auto"/>
                <w:sz w:val="24"/>
                <w:szCs w:val="24"/>
                <w:u w:val="none"/>
              </w:rPr>
            </w:pPr>
            <w:r>
              <w:rPr>
                <w:rStyle w:val="6"/>
                <w:rFonts w:eastAsia="宋体"/>
                <w:color w:val="auto"/>
                <w:lang w:val="en-US" w:eastAsia="zh-CN" w:bidi="ar"/>
              </w:rPr>
              <w:t>¨</w:t>
            </w:r>
            <w:r>
              <w:rPr>
                <w:rStyle w:val="7"/>
                <w:rFonts w:hAnsi="Wingdings"/>
                <w:color w:val="auto"/>
                <w:lang w:val="en-US" w:eastAsia="zh-CN" w:bidi="ar"/>
              </w:rPr>
              <w:t xml:space="preserve">合格 </w:t>
            </w:r>
            <w:r>
              <w:rPr>
                <w:rStyle w:val="6"/>
                <w:rFonts w:eastAsia="宋体"/>
                <w:color w:val="auto"/>
                <w:lang w:val="en-US" w:eastAsia="zh-CN" w:bidi="ar"/>
              </w:rPr>
              <w:t>¨</w:t>
            </w:r>
            <w:r>
              <w:rPr>
                <w:rStyle w:val="7"/>
                <w:rFonts w:hAnsi="Wingdings"/>
                <w:color w:val="auto"/>
                <w:lang w:val="en-US" w:eastAsia="zh-CN" w:bidi="ar"/>
              </w:rPr>
              <w:t>不合格</w:t>
            </w:r>
          </w:p>
        </w:tc>
      </w:tr>
      <w:tr>
        <w:tblPrEx>
          <w:tblCellMar>
            <w:top w:w="0" w:type="dxa"/>
            <w:left w:w="0" w:type="dxa"/>
            <w:bottom w:w="0" w:type="dxa"/>
            <w:right w:w="0" w:type="dxa"/>
          </w:tblCellMar>
        </w:tblPrEx>
        <w:trPr>
          <w:trHeight w:val="1620" w:hRule="atLeast"/>
        </w:trPr>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1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3.项目负责人：拟派项目负责人</w:t>
            </w:r>
            <w:r>
              <w:rPr>
                <w:rFonts w:hint="eastAsia" w:ascii="仿宋_GB2312" w:hAnsi="宋体" w:cs="仿宋_GB2312"/>
                <w:i w:val="0"/>
                <w:color w:val="auto"/>
                <w:kern w:val="0"/>
                <w:sz w:val="24"/>
                <w:szCs w:val="24"/>
                <w:highlight w:val="none"/>
                <w:u w:val="none"/>
                <w:lang w:val="en-US" w:eastAsia="zh-CN" w:bidi="ar"/>
              </w:rPr>
              <w:t>具备国家注册造价工程师（或一级注册造价工程师）证书</w:t>
            </w:r>
            <w:r>
              <w:rPr>
                <w:rFonts w:hint="eastAsia" w:ascii="仿宋_GB2312" w:hAnsi="宋体" w:cs="仿宋_GB2312"/>
                <w:i w:val="0"/>
                <w:color w:val="auto"/>
                <w:kern w:val="0"/>
                <w:sz w:val="24"/>
                <w:szCs w:val="24"/>
                <w:u w:val="none"/>
                <w:lang w:val="en-US" w:eastAsia="zh-CN" w:bidi="ar"/>
              </w:rPr>
              <w:t>，且具有高级工程师职称，提供国家注册造价工程师（或一级注册造价工程师）证书、职称证书、社保证明材料等；</w:t>
            </w:r>
          </w:p>
        </w:tc>
        <w:tc>
          <w:tcPr>
            <w:tcW w:w="2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Style w:val="6"/>
                <w:rFonts w:eastAsia="宋体"/>
                <w:color w:val="auto"/>
                <w:lang w:val="en-US" w:eastAsia="zh-CN" w:bidi="ar"/>
              </w:rPr>
            </w:pPr>
            <w:r>
              <w:rPr>
                <w:rStyle w:val="6"/>
                <w:rFonts w:eastAsia="宋体"/>
                <w:color w:val="auto"/>
                <w:lang w:val="en-US" w:eastAsia="zh-CN" w:bidi="ar"/>
              </w:rPr>
              <w:t>¨</w:t>
            </w:r>
            <w:r>
              <w:rPr>
                <w:rStyle w:val="7"/>
                <w:rFonts w:hAnsi="Wingdings"/>
                <w:color w:val="auto"/>
                <w:lang w:val="en-US" w:eastAsia="zh-CN" w:bidi="ar"/>
              </w:rPr>
              <w:t xml:space="preserve">合格 </w:t>
            </w:r>
            <w:r>
              <w:rPr>
                <w:rStyle w:val="6"/>
                <w:rFonts w:eastAsia="宋体"/>
                <w:color w:val="auto"/>
                <w:lang w:val="en-US" w:eastAsia="zh-CN" w:bidi="ar"/>
              </w:rPr>
              <w:t>¨</w:t>
            </w:r>
            <w:r>
              <w:rPr>
                <w:rStyle w:val="7"/>
                <w:rFonts w:hAnsi="Wingdings"/>
                <w:color w:val="auto"/>
                <w:lang w:val="en-US" w:eastAsia="zh-CN" w:bidi="ar"/>
              </w:rPr>
              <w:t>不合格</w:t>
            </w:r>
          </w:p>
        </w:tc>
      </w:tr>
      <w:tr>
        <w:tblPrEx>
          <w:tblCellMar>
            <w:top w:w="0" w:type="dxa"/>
            <w:left w:w="0" w:type="dxa"/>
            <w:bottom w:w="0" w:type="dxa"/>
            <w:right w:w="0" w:type="dxa"/>
          </w:tblCellMar>
        </w:tblPrEx>
        <w:trPr>
          <w:trHeight w:val="1336" w:hRule="atLeast"/>
        </w:trPr>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81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24"/>
                <w:szCs w:val="24"/>
                <w:u w:val="none"/>
              </w:rPr>
            </w:pPr>
            <w:r>
              <w:rPr>
                <w:rFonts w:hint="eastAsia" w:ascii="仿宋_GB2312" w:hAnsi="宋体" w:cs="仿宋_GB2312"/>
                <w:i w:val="0"/>
                <w:color w:val="auto"/>
                <w:kern w:val="0"/>
                <w:sz w:val="24"/>
                <w:szCs w:val="24"/>
                <w:u w:val="none"/>
                <w:lang w:val="en-US" w:eastAsia="zh-CN" w:bidi="ar"/>
              </w:rPr>
              <w:t>4</w:t>
            </w:r>
            <w:r>
              <w:rPr>
                <w:rFonts w:hint="eastAsia" w:ascii="仿宋_GB2312" w:hAnsi="宋体" w:eastAsia="仿宋_GB2312" w:cs="仿宋_GB2312"/>
                <w:i w:val="0"/>
                <w:color w:val="auto"/>
                <w:kern w:val="0"/>
                <w:sz w:val="24"/>
                <w:szCs w:val="24"/>
                <w:u w:val="none"/>
                <w:lang w:val="en-US" w:eastAsia="zh-CN" w:bidi="ar"/>
              </w:rPr>
              <w:t>.信誉良好，三年内在经营活动中没有重大违法记录；目前没有处于被责令停业，财产被接管、冻结或破产状态；</w:t>
            </w:r>
          </w:p>
        </w:tc>
        <w:tc>
          <w:tcPr>
            <w:tcW w:w="2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Wingdings" w:hAnsi="Wingdings" w:eastAsia="宋体" w:cs="Wingdings"/>
                <w:i w:val="0"/>
                <w:color w:val="auto"/>
                <w:sz w:val="24"/>
                <w:szCs w:val="24"/>
                <w:u w:val="none"/>
              </w:rPr>
            </w:pPr>
            <w:r>
              <w:rPr>
                <w:rStyle w:val="6"/>
                <w:rFonts w:eastAsia="宋体"/>
                <w:color w:val="auto"/>
                <w:lang w:val="en-US" w:eastAsia="zh-CN" w:bidi="ar"/>
              </w:rPr>
              <w:t>¨</w:t>
            </w:r>
            <w:r>
              <w:rPr>
                <w:rStyle w:val="7"/>
                <w:rFonts w:hAnsi="Wingdings"/>
                <w:color w:val="auto"/>
                <w:lang w:val="en-US" w:eastAsia="zh-CN" w:bidi="ar"/>
              </w:rPr>
              <w:t>合格</w:t>
            </w:r>
            <w:r>
              <w:rPr>
                <w:rStyle w:val="6"/>
                <w:rFonts w:eastAsia="宋体"/>
                <w:color w:val="auto"/>
                <w:lang w:val="en-US" w:eastAsia="zh-CN" w:bidi="ar"/>
              </w:rPr>
              <w:t>¨</w:t>
            </w:r>
            <w:r>
              <w:rPr>
                <w:rStyle w:val="7"/>
                <w:rFonts w:hAnsi="Wingdings"/>
                <w:color w:val="auto"/>
                <w:lang w:val="en-US" w:eastAsia="zh-CN" w:bidi="ar"/>
              </w:rPr>
              <w:t>不合格</w:t>
            </w:r>
          </w:p>
        </w:tc>
      </w:tr>
      <w:tr>
        <w:tblPrEx>
          <w:tblCellMar>
            <w:top w:w="0" w:type="dxa"/>
            <w:left w:w="0" w:type="dxa"/>
            <w:bottom w:w="0" w:type="dxa"/>
            <w:right w:w="0" w:type="dxa"/>
          </w:tblCellMar>
        </w:tblPrEx>
        <w:trPr>
          <w:trHeight w:val="2580" w:hRule="atLeast"/>
        </w:trPr>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二</w:t>
            </w:r>
          </w:p>
        </w:tc>
        <w:tc>
          <w:tcPr>
            <w:tcW w:w="18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报价</w:t>
            </w:r>
          </w:p>
        </w:tc>
        <w:tc>
          <w:tcPr>
            <w:tcW w:w="13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30</w:t>
            </w:r>
            <w:r>
              <w:rPr>
                <w:rFonts w:hint="eastAsia" w:ascii="仿宋_GB2312" w:hAnsi="宋体" w:cs="仿宋_GB2312"/>
                <w:i w:val="0"/>
                <w:color w:val="auto"/>
                <w:kern w:val="0"/>
                <w:sz w:val="24"/>
                <w:szCs w:val="24"/>
                <w:u w:val="none"/>
                <w:lang w:val="en-US" w:eastAsia="zh-CN" w:bidi="ar"/>
              </w:rPr>
              <w:t>分</w:t>
            </w: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4"/>
                <w:szCs w:val="24"/>
                <w:u w:val="none"/>
                <w:lang w:val="en-US"/>
              </w:rPr>
            </w:pPr>
            <w:r>
              <w:rPr>
                <w:rFonts w:hint="eastAsia" w:ascii="仿宋_GB2312" w:hAnsi="宋体" w:eastAsia="仿宋_GB2312" w:cs="仿宋_GB2312"/>
                <w:i w:val="0"/>
                <w:color w:val="auto"/>
                <w:kern w:val="0"/>
                <w:sz w:val="24"/>
                <w:szCs w:val="24"/>
                <w:u w:val="none"/>
                <w:lang w:val="en-US" w:eastAsia="zh-CN" w:bidi="ar"/>
              </w:rPr>
              <w:t>本项目按《招标代理服务收费管理暂行办法》（计价格[2002]1980号）及发改办价格〔2003〕857号文件的规定由招标代理公司向中标人收取招标代理费，结合项目实际情况，</w:t>
            </w:r>
            <w:r>
              <w:rPr>
                <w:rFonts w:hint="eastAsia" w:ascii="仿宋_GB2312" w:hAnsi="宋体" w:cs="仿宋_GB2312"/>
                <w:i w:val="0"/>
                <w:color w:val="auto"/>
                <w:kern w:val="0"/>
                <w:sz w:val="24"/>
                <w:szCs w:val="24"/>
                <w:u w:val="none"/>
                <w:lang w:val="en-US" w:eastAsia="zh-CN" w:bidi="ar"/>
              </w:rPr>
              <w:t>代理机构</w:t>
            </w:r>
            <w:r>
              <w:rPr>
                <w:rFonts w:hint="eastAsia" w:ascii="仿宋_GB2312" w:hAnsi="宋体" w:eastAsia="仿宋_GB2312" w:cs="仿宋_GB2312"/>
                <w:i w:val="0"/>
                <w:color w:val="auto"/>
                <w:kern w:val="0"/>
                <w:sz w:val="24"/>
                <w:szCs w:val="24"/>
                <w:u w:val="none"/>
                <w:lang w:val="en-US" w:eastAsia="zh-CN" w:bidi="ar"/>
              </w:rPr>
              <w:t>填报费率下浮20%</w:t>
            </w:r>
            <w:r>
              <w:rPr>
                <w:rFonts w:hint="eastAsia" w:ascii="仿宋_GB2312" w:hAnsi="宋体" w:cs="仿宋_GB2312"/>
                <w:i w:val="0"/>
                <w:color w:val="auto"/>
                <w:kern w:val="0"/>
                <w:sz w:val="24"/>
                <w:szCs w:val="24"/>
                <w:u w:val="none"/>
                <w:lang w:val="en-US" w:eastAsia="zh-CN" w:bidi="ar"/>
              </w:rPr>
              <w:t>作为</w:t>
            </w:r>
            <w:r>
              <w:rPr>
                <w:rFonts w:hint="eastAsia" w:ascii="仿宋_GB2312" w:hAnsi="宋体" w:eastAsia="仿宋_GB2312" w:cs="仿宋_GB2312"/>
                <w:i w:val="0"/>
                <w:color w:val="auto"/>
                <w:kern w:val="0"/>
                <w:sz w:val="24"/>
                <w:szCs w:val="24"/>
                <w:u w:val="none"/>
                <w:lang w:val="en-US" w:eastAsia="zh-CN" w:bidi="ar"/>
              </w:rPr>
              <w:t>评标</w:t>
            </w:r>
            <w:r>
              <w:rPr>
                <w:rFonts w:hint="eastAsia" w:ascii="仿宋_GB2312" w:hAnsi="宋体" w:cs="仿宋_GB2312"/>
                <w:i w:val="0"/>
                <w:color w:val="auto"/>
                <w:kern w:val="0"/>
                <w:sz w:val="24"/>
                <w:szCs w:val="24"/>
                <w:u w:val="none"/>
                <w:lang w:val="en-US" w:eastAsia="zh-CN" w:bidi="ar"/>
              </w:rPr>
              <w:t>基准费率</w:t>
            </w:r>
            <w:r>
              <w:rPr>
                <w:rFonts w:hint="eastAsia" w:ascii="仿宋_GB2312" w:hAnsi="宋体" w:eastAsia="仿宋_GB2312" w:cs="仿宋_GB2312"/>
                <w:i w:val="0"/>
                <w:color w:val="auto"/>
                <w:kern w:val="0"/>
                <w:sz w:val="24"/>
                <w:szCs w:val="24"/>
                <w:u w:val="none"/>
                <w:lang w:val="en-US" w:eastAsia="zh-CN" w:bidi="ar"/>
              </w:rPr>
              <w:t>，</w:t>
            </w:r>
            <w:r>
              <w:rPr>
                <w:rFonts w:hint="eastAsia" w:ascii="仿宋_GB2312" w:hAnsi="宋体" w:cs="仿宋_GB2312"/>
                <w:i w:val="0"/>
                <w:color w:val="auto"/>
                <w:kern w:val="0"/>
                <w:sz w:val="24"/>
                <w:szCs w:val="24"/>
                <w:u w:val="none"/>
                <w:lang w:val="en-US" w:eastAsia="zh-CN" w:bidi="ar"/>
              </w:rPr>
              <w:t>商务报价费率等于</w:t>
            </w:r>
            <w:r>
              <w:rPr>
                <w:rFonts w:hint="eastAsia" w:ascii="仿宋_GB2312" w:hAnsi="宋体" w:eastAsia="仿宋_GB2312" w:cs="仿宋_GB2312"/>
                <w:i w:val="0"/>
                <w:color w:val="auto"/>
                <w:kern w:val="0"/>
                <w:sz w:val="24"/>
                <w:szCs w:val="24"/>
                <w:u w:val="none"/>
                <w:lang w:val="en-US" w:eastAsia="zh-CN" w:bidi="ar"/>
              </w:rPr>
              <w:t>评标</w:t>
            </w:r>
            <w:r>
              <w:rPr>
                <w:rFonts w:hint="eastAsia" w:ascii="仿宋_GB2312" w:hAnsi="宋体" w:cs="仿宋_GB2312"/>
                <w:i w:val="0"/>
                <w:color w:val="auto"/>
                <w:kern w:val="0"/>
                <w:sz w:val="24"/>
                <w:szCs w:val="24"/>
                <w:u w:val="none"/>
                <w:lang w:val="en-US" w:eastAsia="zh-CN" w:bidi="ar"/>
              </w:rPr>
              <w:t>基准费率的得基本分20分，</w:t>
            </w:r>
            <w:r>
              <w:rPr>
                <w:rFonts w:hint="eastAsia" w:ascii="仿宋_GB2312" w:hAnsi="宋体" w:eastAsia="仿宋_GB2312" w:cs="仿宋_GB2312"/>
                <w:i w:val="0"/>
                <w:color w:val="auto"/>
                <w:kern w:val="0"/>
                <w:sz w:val="24"/>
                <w:szCs w:val="24"/>
                <w:u w:val="none"/>
                <w:lang w:val="en-US" w:eastAsia="zh-CN" w:bidi="ar"/>
              </w:rPr>
              <w:t>在此基础上</w:t>
            </w:r>
            <w:r>
              <w:rPr>
                <w:rFonts w:hint="eastAsia" w:ascii="仿宋_GB2312" w:hAnsi="宋体" w:cs="仿宋_GB2312"/>
                <w:i w:val="0"/>
                <w:color w:val="auto"/>
                <w:kern w:val="0"/>
                <w:sz w:val="24"/>
                <w:szCs w:val="24"/>
                <w:u w:val="none"/>
                <w:lang w:val="en-US" w:eastAsia="zh-CN" w:bidi="ar"/>
              </w:rPr>
              <w:t>每下浮1%得1分，加至满分30分为止。</w:t>
            </w:r>
          </w:p>
        </w:tc>
        <w:tc>
          <w:tcPr>
            <w:tcW w:w="2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1200" w:hRule="atLeast"/>
        </w:trPr>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三</w:t>
            </w:r>
          </w:p>
        </w:tc>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技术部分评分标准</w:t>
            </w:r>
          </w:p>
        </w:tc>
        <w:tc>
          <w:tcPr>
            <w:tcW w:w="7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工作    方案</w:t>
            </w:r>
          </w:p>
        </w:tc>
        <w:tc>
          <w:tcPr>
            <w:tcW w:w="13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eastAsia="zh-CN"/>
              </w:rPr>
            </w:pPr>
            <w:r>
              <w:rPr>
                <w:rFonts w:hint="eastAsia" w:ascii="仿宋_GB2312" w:hAnsi="宋体" w:cs="仿宋_GB2312"/>
                <w:i w:val="0"/>
                <w:color w:val="auto"/>
                <w:sz w:val="24"/>
                <w:szCs w:val="24"/>
                <w:u w:val="none"/>
                <w:lang w:val="en-US" w:eastAsia="zh-CN"/>
              </w:rPr>
              <w:t>35分</w:t>
            </w: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1.工作方案的拟订较合理，完成时限最优，服务工作安排科学合理、具体可行，服务范围比较完整，承诺具有较强针对性的，得</w:t>
            </w:r>
            <w:r>
              <w:rPr>
                <w:rFonts w:hint="eastAsia" w:ascii="仿宋_GB2312" w:hAnsi="宋体" w:cs="仿宋_GB2312"/>
                <w:i w:val="0"/>
                <w:color w:val="auto"/>
                <w:kern w:val="0"/>
                <w:sz w:val="24"/>
                <w:szCs w:val="24"/>
                <w:u w:val="none"/>
                <w:lang w:val="en-US" w:eastAsia="zh-CN" w:bidi="ar"/>
              </w:rPr>
              <w:t>31</w:t>
            </w:r>
            <w:r>
              <w:rPr>
                <w:rFonts w:hint="eastAsia" w:ascii="仿宋_GB2312" w:hAnsi="宋体" w:eastAsia="仿宋_GB2312" w:cs="仿宋_GB2312"/>
                <w:i w:val="0"/>
                <w:color w:val="auto"/>
                <w:kern w:val="0"/>
                <w:sz w:val="24"/>
                <w:szCs w:val="24"/>
                <w:u w:val="none"/>
                <w:lang w:val="en-US" w:eastAsia="zh-CN" w:bidi="ar"/>
              </w:rPr>
              <w:t>-</w:t>
            </w:r>
            <w:r>
              <w:rPr>
                <w:rFonts w:hint="eastAsia" w:ascii="仿宋_GB2312" w:hAnsi="宋体" w:cs="仿宋_GB2312"/>
                <w:i w:val="0"/>
                <w:color w:val="auto"/>
                <w:kern w:val="0"/>
                <w:sz w:val="24"/>
                <w:szCs w:val="24"/>
                <w:u w:val="none"/>
                <w:lang w:val="en-US" w:eastAsia="zh-CN" w:bidi="ar"/>
              </w:rPr>
              <w:t>35</w:t>
            </w:r>
            <w:r>
              <w:rPr>
                <w:rFonts w:hint="eastAsia" w:ascii="仿宋_GB2312" w:hAnsi="宋体" w:eastAsia="仿宋_GB2312" w:cs="仿宋_GB2312"/>
                <w:i w:val="0"/>
                <w:color w:val="auto"/>
                <w:kern w:val="0"/>
                <w:sz w:val="24"/>
                <w:szCs w:val="24"/>
                <w:u w:val="none"/>
                <w:lang w:val="en-US" w:eastAsia="zh-CN" w:bidi="ar"/>
              </w:rPr>
              <w:t>分；</w:t>
            </w:r>
          </w:p>
        </w:tc>
        <w:tc>
          <w:tcPr>
            <w:tcW w:w="22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u w:val="none"/>
                <w:lang w:val="en-US" w:eastAsia="zh-CN"/>
              </w:rPr>
            </w:pPr>
          </w:p>
        </w:tc>
      </w:tr>
      <w:tr>
        <w:tblPrEx>
          <w:tblCellMar>
            <w:top w:w="0" w:type="dxa"/>
            <w:left w:w="0" w:type="dxa"/>
            <w:bottom w:w="0" w:type="dxa"/>
            <w:right w:w="0" w:type="dxa"/>
          </w:tblCellMar>
        </w:tblPrEx>
        <w:trPr>
          <w:trHeight w:val="1100" w:hRule="atLeast"/>
        </w:trPr>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2.工作方案的拟订基本合理，完成时限一般，服务工作安排基本合理，服务范围完整，承诺针对性较好，得21-30分；</w:t>
            </w:r>
          </w:p>
        </w:tc>
        <w:tc>
          <w:tcPr>
            <w:tcW w:w="22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1100" w:hRule="atLeast"/>
        </w:trPr>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3.工作方案的拟订基本合理，完成时限一般，服务工作安排基本合理，服务范围基本完整，承诺针对性一般，得11-20分；</w:t>
            </w:r>
          </w:p>
        </w:tc>
        <w:tc>
          <w:tcPr>
            <w:tcW w:w="22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1100" w:hRule="atLeast"/>
        </w:trPr>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4.工作方案的拟订不太合理，无具体完成时限，服务工作安排不合理，服务范围不全面，承诺无针对性，得0-10分。</w:t>
            </w:r>
          </w:p>
        </w:tc>
        <w:tc>
          <w:tcPr>
            <w:tcW w:w="22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1160" w:hRule="atLeast"/>
        </w:trPr>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四</w:t>
            </w:r>
          </w:p>
        </w:tc>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其他因素部分</w:t>
            </w:r>
          </w:p>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评分标准</w:t>
            </w:r>
          </w:p>
        </w:tc>
        <w:tc>
          <w:tcPr>
            <w:tcW w:w="78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人员    配置</w:t>
            </w:r>
          </w:p>
        </w:tc>
        <w:tc>
          <w:tcPr>
            <w:tcW w:w="130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1</w:t>
            </w:r>
            <w:r>
              <w:rPr>
                <w:rFonts w:hint="eastAsia" w:ascii="仿宋_GB2312" w:hAnsi="宋体" w:cs="仿宋_GB2312"/>
                <w:i w:val="0"/>
                <w:color w:val="auto"/>
                <w:kern w:val="0"/>
                <w:sz w:val="24"/>
                <w:szCs w:val="24"/>
                <w:u w:val="none"/>
                <w:lang w:val="en-US" w:eastAsia="zh-CN" w:bidi="ar"/>
              </w:rPr>
              <w:t>0分</w:t>
            </w: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1.</w:t>
            </w:r>
            <w:r>
              <w:rPr>
                <w:rFonts w:hint="eastAsia" w:ascii="仿宋_GB2312" w:hAnsi="宋体" w:eastAsia="仿宋_GB2312" w:cs="仿宋_GB2312"/>
                <w:i w:val="0"/>
                <w:color w:val="auto"/>
                <w:kern w:val="0"/>
                <w:sz w:val="24"/>
                <w:szCs w:val="24"/>
                <w:u w:val="none"/>
                <w:lang w:val="en-US" w:eastAsia="zh-CN" w:bidi="ar"/>
              </w:rPr>
              <w:t>拟派往开展项目招标人员配置比较合理，组织措施有针对性的得7-10分；</w:t>
            </w:r>
          </w:p>
          <w:p>
            <w:pPr>
              <w:keepNext w:val="0"/>
              <w:keepLines w:val="0"/>
              <w:widowControl/>
              <w:suppressLineNumbers w:val="0"/>
              <w:jc w:val="both"/>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备注：人员不提供社保不得分</w:t>
            </w:r>
            <w:r>
              <w:rPr>
                <w:rFonts w:hint="eastAsia" w:ascii="仿宋_GB2312" w:hAnsi="宋体" w:cs="仿宋_GB2312"/>
                <w:i w:val="0"/>
                <w:color w:val="auto"/>
                <w:kern w:val="0"/>
                <w:sz w:val="24"/>
                <w:szCs w:val="24"/>
                <w:u w:val="none"/>
                <w:lang w:val="en-US" w:eastAsia="zh-CN" w:bidi="ar"/>
              </w:rPr>
              <w:t>。</w:t>
            </w:r>
          </w:p>
        </w:tc>
        <w:tc>
          <w:tcPr>
            <w:tcW w:w="2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u w:val="none"/>
                <w:lang w:val="en-US"/>
              </w:rPr>
            </w:pPr>
          </w:p>
        </w:tc>
      </w:tr>
      <w:tr>
        <w:tblPrEx>
          <w:tblCellMar>
            <w:top w:w="0" w:type="dxa"/>
            <w:left w:w="0" w:type="dxa"/>
            <w:bottom w:w="0" w:type="dxa"/>
            <w:right w:w="0" w:type="dxa"/>
          </w:tblCellMar>
        </w:tblPrEx>
        <w:trPr>
          <w:trHeight w:val="1380" w:hRule="atLeast"/>
        </w:trPr>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8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30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cs="仿宋_GB2312"/>
                <w:i w:val="0"/>
                <w:color w:val="auto"/>
                <w:kern w:val="0"/>
                <w:sz w:val="24"/>
                <w:szCs w:val="24"/>
                <w:u w:val="none"/>
                <w:lang w:val="en-US" w:eastAsia="zh-CN" w:bidi="ar"/>
              </w:rPr>
              <w:t>2.</w:t>
            </w:r>
            <w:r>
              <w:rPr>
                <w:rFonts w:hint="eastAsia" w:ascii="仿宋_GB2312" w:hAnsi="宋体" w:eastAsia="仿宋_GB2312" w:cs="仿宋_GB2312"/>
                <w:i w:val="0"/>
                <w:color w:val="auto"/>
                <w:kern w:val="0"/>
                <w:sz w:val="24"/>
                <w:szCs w:val="24"/>
                <w:u w:val="none"/>
                <w:lang w:val="en-US" w:eastAsia="zh-CN" w:bidi="ar"/>
              </w:rPr>
              <w:t>拟派往开展项目招标人员配置一般，组织措施具体但针对性一般得1-</w:t>
            </w:r>
            <w:r>
              <w:rPr>
                <w:rFonts w:hint="eastAsia" w:ascii="仿宋_GB2312" w:hAnsi="宋体" w:cs="仿宋_GB2312"/>
                <w:i w:val="0"/>
                <w:color w:val="auto"/>
                <w:kern w:val="0"/>
                <w:sz w:val="24"/>
                <w:szCs w:val="24"/>
                <w:u w:val="none"/>
                <w:lang w:val="en-US" w:eastAsia="zh-CN" w:bidi="ar"/>
              </w:rPr>
              <w:t>6</w:t>
            </w:r>
            <w:r>
              <w:rPr>
                <w:rFonts w:hint="eastAsia" w:ascii="仿宋_GB2312" w:hAnsi="宋体" w:eastAsia="仿宋_GB2312" w:cs="仿宋_GB2312"/>
                <w:i w:val="0"/>
                <w:color w:val="auto"/>
                <w:kern w:val="0"/>
                <w:sz w:val="24"/>
                <w:szCs w:val="24"/>
                <w:u w:val="none"/>
                <w:lang w:val="en-US" w:eastAsia="zh-CN" w:bidi="ar"/>
              </w:rPr>
              <w:t>分。</w:t>
            </w:r>
          </w:p>
          <w:p>
            <w:pPr>
              <w:keepNext w:val="0"/>
              <w:keepLines w:val="0"/>
              <w:widowControl/>
              <w:suppressLineNumbers w:val="0"/>
              <w:jc w:val="both"/>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备注：人员不提供社保不得分。</w:t>
            </w:r>
          </w:p>
        </w:tc>
        <w:tc>
          <w:tcPr>
            <w:tcW w:w="2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1380" w:hRule="atLeast"/>
        </w:trPr>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84"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u w:val="none"/>
                <w:lang w:val="en-US" w:eastAsia="zh-CN"/>
              </w:rPr>
            </w:pPr>
            <w:r>
              <w:rPr>
                <w:rFonts w:hint="eastAsia" w:ascii="仿宋_GB2312" w:hAnsi="宋体" w:cs="仿宋_GB2312"/>
                <w:i w:val="0"/>
                <w:color w:val="auto"/>
                <w:sz w:val="24"/>
                <w:szCs w:val="24"/>
                <w:u w:val="none"/>
                <w:lang w:val="en-US" w:eastAsia="zh-CN"/>
              </w:rPr>
              <w:t>项目负责人</w:t>
            </w:r>
          </w:p>
        </w:tc>
        <w:tc>
          <w:tcPr>
            <w:tcW w:w="1301"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highlight w:val="none"/>
                <w:u w:val="none"/>
                <w:lang w:val="en-US" w:eastAsia="zh-CN"/>
              </w:rPr>
            </w:pPr>
            <w:r>
              <w:rPr>
                <w:rFonts w:hint="eastAsia" w:ascii="仿宋_GB2312" w:hAnsi="宋体" w:cs="仿宋_GB2312"/>
                <w:i w:val="0"/>
                <w:color w:val="auto"/>
                <w:sz w:val="24"/>
                <w:szCs w:val="24"/>
                <w:highlight w:val="none"/>
                <w:u w:val="none"/>
                <w:lang w:val="en-US" w:eastAsia="zh-CN"/>
              </w:rPr>
              <w:t>10分</w:t>
            </w: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24"/>
                <w:szCs w:val="24"/>
                <w:highlight w:val="none"/>
                <w:u w:val="none"/>
                <w:lang w:val="en-US" w:eastAsia="zh-CN" w:bidi="ar"/>
              </w:rPr>
            </w:pPr>
            <w:r>
              <w:rPr>
                <w:rFonts w:hint="eastAsia" w:ascii="仿宋_GB2312" w:hAnsi="宋体" w:cs="仿宋_GB2312"/>
                <w:i w:val="0"/>
                <w:color w:val="auto"/>
                <w:kern w:val="0"/>
                <w:sz w:val="24"/>
                <w:szCs w:val="24"/>
                <w:highlight w:val="none"/>
                <w:u w:val="none"/>
                <w:lang w:val="en-US" w:eastAsia="zh-CN" w:bidi="ar"/>
              </w:rPr>
              <w:t>项目负责人在满足资格要求的基础上同时具备一级建造师及监理工程师的得10分；提供职（执）业资格证书或注册证书复印件否则不予得分。</w:t>
            </w:r>
          </w:p>
        </w:tc>
        <w:tc>
          <w:tcPr>
            <w:tcW w:w="2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2020" w:hRule="atLeast"/>
        </w:trPr>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企业    业绩</w:t>
            </w:r>
          </w:p>
        </w:tc>
        <w:tc>
          <w:tcPr>
            <w:tcW w:w="13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4"/>
                <w:szCs w:val="24"/>
                <w:u w:val="none"/>
                <w:lang w:val="en-US"/>
              </w:rPr>
            </w:pPr>
            <w:r>
              <w:rPr>
                <w:rFonts w:hint="eastAsia" w:ascii="仿宋_GB2312" w:hAnsi="宋体" w:cs="仿宋_GB2312"/>
                <w:i w:val="0"/>
                <w:color w:val="auto"/>
                <w:kern w:val="0"/>
                <w:sz w:val="24"/>
                <w:szCs w:val="24"/>
                <w:u w:val="none"/>
                <w:lang w:val="en-US" w:eastAsia="zh-CN" w:bidi="ar"/>
              </w:rPr>
              <w:t>15分</w:t>
            </w:r>
          </w:p>
        </w:tc>
        <w:tc>
          <w:tcPr>
            <w:tcW w:w="40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咨询单位（20</w:t>
            </w:r>
            <w:r>
              <w:rPr>
                <w:rFonts w:hint="eastAsia" w:ascii="仿宋_GB2312" w:hAnsi="宋体" w:cs="仿宋_GB2312"/>
                <w:i w:val="0"/>
                <w:color w:val="auto"/>
                <w:kern w:val="0"/>
                <w:sz w:val="24"/>
                <w:szCs w:val="24"/>
                <w:u w:val="none"/>
                <w:lang w:val="en-US" w:eastAsia="zh-CN" w:bidi="ar"/>
              </w:rPr>
              <w:t>20</w:t>
            </w:r>
            <w:r>
              <w:rPr>
                <w:rFonts w:hint="eastAsia" w:ascii="仿宋_GB2312" w:hAnsi="宋体" w:eastAsia="仿宋_GB2312" w:cs="仿宋_GB2312"/>
                <w:i w:val="0"/>
                <w:color w:val="auto"/>
                <w:kern w:val="0"/>
                <w:sz w:val="24"/>
                <w:szCs w:val="24"/>
                <w:u w:val="none"/>
                <w:lang w:val="en-US" w:eastAsia="zh-CN" w:bidi="ar"/>
              </w:rPr>
              <w:t>年-至今）独立承担过</w:t>
            </w:r>
            <w:r>
              <w:rPr>
                <w:rFonts w:hint="eastAsia" w:ascii="仿宋_GB2312" w:hAnsi="宋体" w:cs="仿宋_GB2312"/>
                <w:i w:val="0"/>
                <w:color w:val="auto"/>
                <w:kern w:val="0"/>
                <w:sz w:val="24"/>
                <w:szCs w:val="24"/>
                <w:u w:val="none"/>
                <w:lang w:val="en-US" w:eastAsia="zh-CN" w:bidi="ar"/>
              </w:rPr>
              <w:t>1</w:t>
            </w:r>
            <w:r>
              <w:rPr>
                <w:rFonts w:hint="eastAsia" w:ascii="仿宋_GB2312" w:hAnsi="宋体" w:eastAsia="仿宋_GB2312" w:cs="仿宋_GB2312"/>
                <w:i w:val="0"/>
                <w:color w:val="auto"/>
                <w:kern w:val="0"/>
                <w:sz w:val="24"/>
                <w:szCs w:val="24"/>
                <w:u w:val="none"/>
                <w:lang w:val="en-US" w:eastAsia="zh-CN" w:bidi="ar"/>
              </w:rPr>
              <w:t>个不低于</w:t>
            </w:r>
            <w:r>
              <w:rPr>
                <w:rFonts w:hint="eastAsia" w:ascii="仿宋_GB2312" w:hAnsi="宋体" w:cs="仿宋_GB2312"/>
                <w:i w:val="0"/>
                <w:color w:val="auto"/>
                <w:kern w:val="0"/>
                <w:sz w:val="24"/>
                <w:szCs w:val="24"/>
                <w:u w:val="none"/>
                <w:lang w:val="en-US" w:eastAsia="zh-CN" w:bidi="ar"/>
              </w:rPr>
              <w:t>1000万</w:t>
            </w:r>
            <w:r>
              <w:rPr>
                <w:rFonts w:hint="eastAsia" w:ascii="仿宋_GB2312" w:hAnsi="宋体" w:eastAsia="仿宋_GB2312" w:cs="仿宋_GB2312"/>
                <w:i w:val="0"/>
                <w:color w:val="auto"/>
                <w:kern w:val="0"/>
                <w:sz w:val="24"/>
                <w:szCs w:val="24"/>
                <w:u w:val="none"/>
                <w:lang w:val="en-US" w:eastAsia="zh-CN" w:bidi="ar"/>
              </w:rPr>
              <w:t>元</w:t>
            </w:r>
            <w:r>
              <w:rPr>
                <w:rFonts w:hint="eastAsia" w:ascii="仿宋_GB2312" w:hAnsi="宋体" w:cs="仿宋_GB2312"/>
                <w:i w:val="0"/>
                <w:color w:val="auto"/>
                <w:kern w:val="0"/>
                <w:sz w:val="24"/>
                <w:szCs w:val="24"/>
                <w:u w:val="none"/>
                <w:lang w:val="en-US" w:eastAsia="zh-CN" w:bidi="ar"/>
              </w:rPr>
              <w:t>工程施工类</w:t>
            </w:r>
            <w:r>
              <w:rPr>
                <w:rFonts w:hint="eastAsia" w:ascii="仿宋_GB2312" w:hAnsi="宋体" w:eastAsia="仿宋_GB2312" w:cs="仿宋_GB2312"/>
                <w:i w:val="0"/>
                <w:color w:val="auto"/>
                <w:kern w:val="0"/>
                <w:sz w:val="24"/>
                <w:szCs w:val="24"/>
                <w:u w:val="none"/>
                <w:lang w:val="en-US" w:eastAsia="zh-CN" w:bidi="ar"/>
              </w:rPr>
              <w:t>招标工作业绩</w:t>
            </w:r>
            <w:r>
              <w:rPr>
                <w:rFonts w:hint="eastAsia" w:ascii="仿宋_GB2312" w:hAnsi="宋体" w:cs="仿宋_GB2312"/>
                <w:i w:val="0"/>
                <w:color w:val="auto"/>
                <w:kern w:val="0"/>
                <w:sz w:val="24"/>
                <w:szCs w:val="24"/>
                <w:u w:val="none"/>
                <w:lang w:val="en-US" w:eastAsia="zh-CN" w:bidi="ar"/>
              </w:rPr>
              <w:t>的</w:t>
            </w:r>
            <w:r>
              <w:rPr>
                <w:rFonts w:hint="eastAsia" w:ascii="仿宋_GB2312" w:hAnsi="宋体" w:eastAsia="仿宋_GB2312" w:cs="仿宋_GB2312"/>
                <w:i w:val="0"/>
                <w:color w:val="auto"/>
                <w:kern w:val="0"/>
                <w:sz w:val="24"/>
                <w:szCs w:val="24"/>
                <w:u w:val="none"/>
                <w:lang w:val="en-US" w:eastAsia="zh-CN" w:bidi="ar"/>
              </w:rPr>
              <w:t>得基本分</w:t>
            </w:r>
            <w:r>
              <w:rPr>
                <w:rFonts w:hint="eastAsia" w:ascii="仿宋_GB2312" w:hAnsi="宋体" w:cs="仿宋_GB2312"/>
                <w:i w:val="0"/>
                <w:color w:val="auto"/>
                <w:kern w:val="0"/>
                <w:sz w:val="24"/>
                <w:szCs w:val="24"/>
                <w:u w:val="none"/>
                <w:lang w:val="en-US" w:eastAsia="zh-CN" w:bidi="ar"/>
              </w:rPr>
              <w:t>5</w:t>
            </w:r>
            <w:r>
              <w:rPr>
                <w:rFonts w:hint="eastAsia" w:ascii="仿宋_GB2312" w:hAnsi="宋体" w:eastAsia="仿宋_GB2312" w:cs="仿宋_GB2312"/>
                <w:i w:val="0"/>
                <w:color w:val="auto"/>
                <w:kern w:val="0"/>
                <w:sz w:val="24"/>
                <w:szCs w:val="24"/>
                <w:u w:val="none"/>
                <w:lang w:val="en-US" w:eastAsia="zh-CN" w:bidi="ar"/>
              </w:rPr>
              <w:t>分，每</w:t>
            </w:r>
            <w:r>
              <w:rPr>
                <w:rFonts w:hint="eastAsia" w:ascii="仿宋_GB2312" w:hAnsi="宋体" w:cs="仿宋_GB2312"/>
                <w:i w:val="0"/>
                <w:color w:val="auto"/>
                <w:kern w:val="0"/>
                <w:sz w:val="24"/>
                <w:szCs w:val="24"/>
                <w:u w:val="none"/>
                <w:lang w:val="en-US" w:eastAsia="zh-CN" w:bidi="ar"/>
              </w:rPr>
              <w:t>增加</w:t>
            </w:r>
            <w:r>
              <w:rPr>
                <w:rFonts w:hint="eastAsia" w:ascii="仿宋_GB2312" w:hAnsi="宋体" w:eastAsia="仿宋_GB2312" w:cs="仿宋_GB2312"/>
                <w:i w:val="0"/>
                <w:color w:val="auto"/>
                <w:kern w:val="0"/>
                <w:sz w:val="24"/>
                <w:szCs w:val="24"/>
                <w:u w:val="none"/>
                <w:lang w:val="en-US" w:eastAsia="zh-CN" w:bidi="ar"/>
              </w:rPr>
              <w:t>一个不低于</w:t>
            </w:r>
            <w:r>
              <w:rPr>
                <w:rFonts w:hint="eastAsia" w:ascii="仿宋_GB2312" w:hAnsi="宋体" w:cs="仿宋_GB2312"/>
                <w:i w:val="0"/>
                <w:color w:val="auto"/>
                <w:kern w:val="0"/>
                <w:sz w:val="24"/>
                <w:szCs w:val="24"/>
                <w:u w:val="none"/>
                <w:lang w:val="en-US" w:eastAsia="zh-CN" w:bidi="ar"/>
              </w:rPr>
              <w:t>1000万</w:t>
            </w:r>
            <w:r>
              <w:rPr>
                <w:rFonts w:hint="eastAsia" w:ascii="仿宋_GB2312" w:hAnsi="宋体" w:eastAsia="仿宋_GB2312" w:cs="仿宋_GB2312"/>
                <w:i w:val="0"/>
                <w:color w:val="auto"/>
                <w:kern w:val="0"/>
                <w:sz w:val="24"/>
                <w:szCs w:val="24"/>
                <w:u w:val="none"/>
                <w:lang w:val="en-US" w:eastAsia="zh-CN" w:bidi="ar"/>
              </w:rPr>
              <w:t>元</w:t>
            </w:r>
            <w:r>
              <w:rPr>
                <w:rFonts w:hint="eastAsia" w:ascii="仿宋_GB2312" w:hAnsi="宋体" w:cs="仿宋_GB2312"/>
                <w:i w:val="0"/>
                <w:color w:val="auto"/>
                <w:kern w:val="0"/>
                <w:sz w:val="24"/>
                <w:szCs w:val="24"/>
                <w:u w:val="none"/>
                <w:lang w:val="en-US" w:eastAsia="zh-CN" w:bidi="ar"/>
              </w:rPr>
              <w:t>工程施工类</w:t>
            </w:r>
            <w:r>
              <w:rPr>
                <w:rFonts w:hint="eastAsia" w:ascii="仿宋_GB2312" w:hAnsi="宋体" w:eastAsia="仿宋_GB2312" w:cs="仿宋_GB2312"/>
                <w:i w:val="0"/>
                <w:color w:val="auto"/>
                <w:kern w:val="0"/>
                <w:sz w:val="24"/>
                <w:szCs w:val="24"/>
                <w:u w:val="none"/>
                <w:lang w:val="en-US" w:eastAsia="zh-CN" w:bidi="ar"/>
              </w:rPr>
              <w:t>招标工作业绩</w:t>
            </w:r>
            <w:r>
              <w:rPr>
                <w:rFonts w:hint="eastAsia" w:ascii="仿宋_GB2312" w:hAnsi="宋体" w:cs="仿宋_GB2312"/>
                <w:i w:val="0"/>
                <w:color w:val="auto"/>
                <w:kern w:val="0"/>
                <w:sz w:val="24"/>
                <w:szCs w:val="24"/>
                <w:u w:val="none"/>
                <w:lang w:val="en-US" w:eastAsia="zh-CN" w:bidi="ar"/>
              </w:rPr>
              <w:t>的</w:t>
            </w:r>
            <w:r>
              <w:rPr>
                <w:rFonts w:hint="eastAsia" w:ascii="仿宋_GB2312" w:hAnsi="宋体" w:eastAsia="仿宋_GB2312" w:cs="仿宋_GB2312"/>
                <w:i w:val="0"/>
                <w:color w:val="auto"/>
                <w:kern w:val="0"/>
                <w:sz w:val="24"/>
                <w:szCs w:val="24"/>
                <w:u w:val="none"/>
                <w:lang w:val="en-US" w:eastAsia="zh-CN" w:bidi="ar"/>
              </w:rPr>
              <w:t>加</w:t>
            </w:r>
            <w:r>
              <w:rPr>
                <w:rFonts w:hint="eastAsia" w:ascii="仿宋_GB2312" w:hAnsi="宋体" w:cs="仿宋_GB2312"/>
                <w:i w:val="0"/>
                <w:color w:val="auto"/>
                <w:kern w:val="0"/>
                <w:sz w:val="24"/>
                <w:szCs w:val="24"/>
                <w:u w:val="none"/>
                <w:lang w:val="en-US" w:eastAsia="zh-CN" w:bidi="ar"/>
              </w:rPr>
              <w:t>2.5</w:t>
            </w:r>
            <w:r>
              <w:rPr>
                <w:rFonts w:hint="eastAsia" w:ascii="仿宋_GB2312" w:hAnsi="宋体" w:eastAsia="仿宋_GB2312" w:cs="仿宋_GB2312"/>
                <w:i w:val="0"/>
                <w:color w:val="auto"/>
                <w:kern w:val="0"/>
                <w:sz w:val="24"/>
                <w:szCs w:val="24"/>
                <w:u w:val="none"/>
                <w:lang w:val="en-US" w:eastAsia="zh-CN" w:bidi="ar"/>
              </w:rPr>
              <w:t>分，</w:t>
            </w:r>
            <w:r>
              <w:rPr>
                <w:rFonts w:hint="eastAsia" w:ascii="仿宋_GB2312" w:hAnsi="宋体" w:cs="仿宋_GB2312"/>
                <w:i w:val="0"/>
                <w:color w:val="auto"/>
                <w:kern w:val="0"/>
                <w:sz w:val="24"/>
                <w:szCs w:val="24"/>
                <w:u w:val="none"/>
                <w:lang w:val="en-US" w:eastAsia="zh-CN" w:bidi="ar"/>
              </w:rPr>
              <w:t>加至满分15</w:t>
            </w:r>
            <w:r>
              <w:rPr>
                <w:rFonts w:hint="eastAsia" w:ascii="仿宋_GB2312" w:hAnsi="宋体" w:eastAsia="仿宋_GB2312" w:cs="仿宋_GB2312"/>
                <w:i w:val="0"/>
                <w:color w:val="auto"/>
                <w:kern w:val="0"/>
                <w:sz w:val="24"/>
                <w:szCs w:val="24"/>
                <w:u w:val="none"/>
                <w:lang w:val="en-US" w:eastAsia="zh-CN" w:bidi="ar"/>
              </w:rPr>
              <w:t>分</w:t>
            </w:r>
            <w:r>
              <w:rPr>
                <w:rFonts w:hint="eastAsia" w:ascii="仿宋_GB2312" w:hAnsi="宋体" w:cs="仿宋_GB2312"/>
                <w:i w:val="0"/>
                <w:color w:val="auto"/>
                <w:kern w:val="0"/>
                <w:sz w:val="24"/>
                <w:szCs w:val="24"/>
                <w:u w:val="none"/>
                <w:lang w:val="en-US" w:eastAsia="zh-CN" w:bidi="ar"/>
              </w:rPr>
              <w:t>为止</w:t>
            </w:r>
            <w:r>
              <w:rPr>
                <w:rFonts w:hint="eastAsia" w:ascii="仿宋_GB2312" w:hAnsi="宋体" w:eastAsia="仿宋_GB2312" w:cs="仿宋_GB2312"/>
                <w:i w:val="0"/>
                <w:color w:val="auto"/>
                <w:kern w:val="0"/>
                <w:sz w:val="24"/>
                <w:szCs w:val="24"/>
                <w:u w:val="none"/>
                <w:lang w:val="en-US" w:eastAsia="zh-CN" w:bidi="ar"/>
              </w:rPr>
              <w:t>。（业绩证明材料为合同协议书</w:t>
            </w:r>
            <w:r>
              <w:rPr>
                <w:rFonts w:hint="eastAsia" w:ascii="仿宋_GB2312" w:hAnsi="宋体" w:cs="仿宋_GB2312"/>
                <w:i w:val="0"/>
                <w:color w:val="auto"/>
                <w:kern w:val="0"/>
                <w:sz w:val="24"/>
                <w:szCs w:val="24"/>
                <w:u w:val="none"/>
                <w:lang w:val="en-US" w:eastAsia="zh-CN" w:bidi="ar"/>
              </w:rPr>
              <w:t>和招标公告截图和</w:t>
            </w:r>
            <w:r>
              <w:rPr>
                <w:rFonts w:hint="eastAsia" w:ascii="仿宋_GB2312" w:hAnsi="宋体" w:eastAsia="仿宋_GB2312" w:cs="仿宋_GB2312"/>
                <w:i w:val="0"/>
                <w:color w:val="auto"/>
                <w:kern w:val="0"/>
                <w:sz w:val="24"/>
                <w:szCs w:val="24"/>
                <w:u w:val="none"/>
                <w:lang w:val="en-US" w:eastAsia="zh-CN" w:bidi="ar"/>
              </w:rPr>
              <w:t>中标通知书）</w:t>
            </w:r>
          </w:p>
        </w:tc>
        <w:tc>
          <w:tcPr>
            <w:tcW w:w="22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24"/>
                <w:szCs w:val="24"/>
                <w:u w:val="none"/>
                <w:lang w:val="en-US"/>
              </w:rPr>
            </w:pPr>
          </w:p>
        </w:tc>
      </w:tr>
      <w:tr>
        <w:tblPrEx>
          <w:tblCellMar>
            <w:top w:w="0" w:type="dxa"/>
            <w:left w:w="0" w:type="dxa"/>
            <w:bottom w:w="0" w:type="dxa"/>
            <w:right w:w="0" w:type="dxa"/>
          </w:tblCellMar>
        </w:tblPrEx>
        <w:trPr>
          <w:trHeight w:val="1020" w:hRule="atLeast"/>
        </w:trPr>
        <w:tc>
          <w:tcPr>
            <w:tcW w:w="259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总得分</w:t>
            </w:r>
          </w:p>
        </w:tc>
        <w:tc>
          <w:tcPr>
            <w:tcW w:w="760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24"/>
                <w:szCs w:val="24"/>
                <w:u w:val="none"/>
              </w:rPr>
            </w:pPr>
          </w:p>
        </w:tc>
      </w:tr>
      <w:tr>
        <w:tblPrEx>
          <w:tblCellMar>
            <w:top w:w="0" w:type="dxa"/>
            <w:left w:w="0" w:type="dxa"/>
            <w:bottom w:w="0" w:type="dxa"/>
            <w:right w:w="0" w:type="dxa"/>
          </w:tblCellMar>
        </w:tblPrEx>
        <w:trPr>
          <w:trHeight w:val="1020" w:hRule="atLeast"/>
        </w:trPr>
        <w:tc>
          <w:tcPr>
            <w:tcW w:w="259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24"/>
                <w:szCs w:val="24"/>
                <w:u w:val="none"/>
              </w:rPr>
            </w:pPr>
            <w:r>
              <w:rPr>
                <w:rFonts w:hint="eastAsia" w:ascii="仿宋_GB2312" w:hAnsi="宋体" w:eastAsia="仿宋_GB2312" w:cs="仿宋_GB2312"/>
                <w:i w:val="0"/>
                <w:color w:val="auto"/>
                <w:kern w:val="0"/>
                <w:sz w:val="24"/>
                <w:szCs w:val="24"/>
                <w:u w:val="none"/>
                <w:lang w:val="en-US" w:eastAsia="zh-CN" w:bidi="ar"/>
              </w:rPr>
              <w:t>评分人</w:t>
            </w:r>
          </w:p>
        </w:tc>
        <w:tc>
          <w:tcPr>
            <w:tcW w:w="76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auto"/>
                <w:sz w:val="22"/>
                <w:szCs w:val="22"/>
                <w:u w:val="none"/>
              </w:rPr>
            </w:pPr>
          </w:p>
        </w:tc>
      </w:tr>
    </w:tbl>
    <w:p>
      <w:pPr>
        <w:pStyle w:val="2"/>
        <w:rPr>
          <w:rFonts w:hint="eastAsia" w:ascii="方正小标宋简体" w:hAnsi="方正小标宋简体" w:eastAsia="方正小标宋简体" w:cs="方正小标宋简体"/>
          <w:color w:val="auto"/>
          <w:spacing w:val="0"/>
          <w:kern w:val="0"/>
          <w:sz w:val="32"/>
          <w:szCs w:val="32"/>
          <w:lang w:val="en-US" w:eastAsia="zh-CN" w:bidi="ar-SA"/>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45"/>
        <w:tab w:val="clear" w:pos="4153"/>
      </w:tabs>
      <w:jc w:val="both"/>
    </w:pPr>
    <w:r>
      <mc:AlternateContent>
        <mc:Choice Requires="wps">
          <w:drawing>
            <wp:anchor distT="0" distB="0" distL="114300" distR="114300" simplePos="0" relativeHeight="251661312" behindDoc="0" locked="0" layoutInCell="1" allowOverlap="1">
              <wp:simplePos x="0" y="0"/>
              <wp:positionH relativeFrom="margin">
                <wp:posOffset>5321300</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宋体" w:hAnsi="宋体" w:eastAsia="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19pt;margin-top:-1.5pt;height:144pt;width:144pt;mso-position-horizontal-relative:margin;mso-wrap-style:none;z-index:251661312;mso-width-relative:page;mso-height-relative:page;" filled="f" stroked="f" coordsize="21600,21600" o:gfxdata="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WVLQN2wAAAAsBAAAPAAAAAAAAAAEAIAAA&#10;ACIAAABkcnMvZG93bnJldi54bWxQSwECFAAUAAAACACHTuJAYHJxPNABAACjAwAADgAAAAAAAAAB&#10;ACAAAAAqAQAAZHJzL2Uyb0RvYy54bWxQSwUGAAAAAAYABgBZAQAAbAUAAAAA&#10;">
              <v:path/>
              <v:fill on="f" focussize="0,0"/>
              <v:stroke on="f" weight="1.25pt"/>
              <v:imagedata o:title=""/>
              <o:lock v:ext="edit" aspectratio="f"/>
              <v:textbox inset="0mm,0mm,0mm,0mm" style="mso-fit-shape-to-text:t;">
                <w:txbxContent>
                  <w:p>
                    <w:pPr>
                      <w:snapToGrid w:val="0"/>
                      <w:rPr>
                        <w:rFonts w:hint="eastAsia" w:ascii="宋体" w:hAnsi="宋体" w:eastAsia="宋体" w:cs="宋体"/>
                        <w:sz w:val="28"/>
                        <w:szCs w:val="28"/>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5025390</wp:posOffset>
              </wp:positionH>
              <wp:positionV relativeFrom="paragraph">
                <wp:posOffset>-247650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jc w:val="right"/>
                          </w:pPr>
                        </w:p>
                      </w:txbxContent>
                    </wps:txbx>
                    <wps:bodyPr wrap="none" lIns="0" tIns="0" rIns="0" bIns="0" upright="0">
                      <a:spAutoFit/>
                    </wps:bodyPr>
                  </wps:wsp>
                </a:graphicData>
              </a:graphic>
            </wp:anchor>
          </w:drawing>
        </mc:Choice>
        <mc:Fallback>
          <w:pict>
            <v:shape id="_x0000_s1026" o:spid="_x0000_s1026" o:spt="202" type="#_x0000_t202" style="position:absolute;left:0pt;margin-left:395.7pt;margin-top:-19.5pt;height:144pt;width:144pt;mso-position-horizontal-relative:margin;mso-wrap-style:none;z-index:251659264;mso-width-relative:page;mso-height-relative:page;" filled="f" stroked="f" coordsize="21600,21600" o:gfxdata="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vik+Y2gAAAAwBAAAPAAAAAAAAAAEAIAAA&#10;ACIAAABkcnMvZG93bnJldi54bWxQSwECFAAUAAAACACHTuJAXiVGdNEBAACjAwAADgAAAAAAAAAB&#10;ACAAAAApAQAAZHJzL2Uyb0RvYy54bWxQSwUGAAAAAAYABgBZAQAAbAUAAAAA&#10;">
              <v:path/>
              <v:fill on="f" focussize="0,0"/>
              <v:stroke on="f" weight="1.25pt"/>
              <v:imagedata o:title=""/>
              <o:lock v:ext="edit" aspectratio="f"/>
              <v:textbox inset="0mm,0mm,0mm,0mm" style="mso-fit-shape-to-text:t;">
                <w:txbxContent>
                  <w:p>
                    <w:pPr>
                      <w:pStyle w:val="3"/>
                      <w:jc w:val="right"/>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4721225</wp:posOffset>
              </wp:positionH>
              <wp:positionV relativeFrom="paragraph">
                <wp:posOffset>-105410</wp:posOffset>
              </wp:positionV>
              <wp:extent cx="219075" cy="2533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19075" cy="253365"/>
                      </a:xfrm>
                      <a:prstGeom prst="rect">
                        <a:avLst/>
                      </a:prstGeom>
                      <a:noFill/>
                      <a:ln w="15875">
                        <a:noFill/>
                      </a:ln>
                    </wps:spPr>
                    <wps:txbx>
                      <w:txbxContent>
                        <w:p>
                          <w:pPr>
                            <w:snapToGrid w:val="0"/>
                            <w:rPr>
                              <w:rFonts w:hint="eastAsia" w:ascii="宋体" w:hAnsi="宋体" w:eastAsia="宋体" w:cs="宋体"/>
                              <w:sz w:val="28"/>
                              <w:szCs w:val="28"/>
                            </w:rPr>
                          </w:pPr>
                        </w:p>
                      </w:txbxContent>
                    </wps:txbx>
                    <wps:bodyPr lIns="0" tIns="0" rIns="0" bIns="0" upright="0"/>
                  </wps:wsp>
                </a:graphicData>
              </a:graphic>
            </wp:anchor>
          </w:drawing>
        </mc:Choice>
        <mc:Fallback>
          <w:pict>
            <v:shape id="_x0000_s1026" o:spid="_x0000_s1026" o:spt="202" type="#_x0000_t202" style="position:absolute;left:0pt;margin-left:371.75pt;margin-top:-8.3pt;height:19.95pt;width:17.25pt;mso-position-horizontal-relative:margin;z-index:251660288;mso-width-relative:page;mso-height-relative:page;" filled="f" stroked="f" coordsize="21600,21600" o:gfxdata="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H4XXjZAAAACgEAAA8AAAAAAAAAAQAgAAAAIgAAAGRycy9kb3ducmV2&#10;LnhtbFBLAQIUABQAAAAIAIdO4kC7jNl8wgEAAHsDAAAOAAAAAAAAAAEAIAAAACgBAABkcnMvZTJv&#10;RG9jLnhtbFBLBQYAAAAABgAGAFkBAABcBQAAAAA=&#10;">
              <v:path/>
              <v:fill on="f" focussize="0,0"/>
              <v:stroke on="f" weight="1.25pt"/>
              <v:imagedata o:title=""/>
              <o:lock v:ext="edit" aspectratio="f"/>
              <v:textbox inset="0mm,0mm,0mm,0mm">
                <w:txbxContent>
                  <w:p>
                    <w:pPr>
                      <w:snapToGrid w:val="0"/>
                      <w:rPr>
                        <w:rFonts w:hint="eastAsia"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MzI4OWQ2MDlmYWQ3Y2JiNzI5Njc1ZjA3YmJjM2IifQ=="/>
  </w:docVars>
  <w:rsids>
    <w:rsidRoot w:val="00000000"/>
    <w:rsid w:val="01660C24"/>
    <w:rsid w:val="0E7568A4"/>
    <w:rsid w:val="3CFA014D"/>
    <w:rsid w:val="476149F4"/>
    <w:rsid w:val="4DC92655"/>
    <w:rsid w:val="50EC1468"/>
    <w:rsid w:val="519E0DBE"/>
    <w:rsid w:val="56587921"/>
    <w:rsid w:val="6DD8604D"/>
    <w:rsid w:val="70B24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34"/>
      <w:sz w:val="3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kern w:val="0"/>
      <w:sz w:val="24"/>
      <w:szCs w:val="22"/>
      <w:lang w:val="en-US" w:eastAsia="zh-CN" w:bidi="ar-SA"/>
    </w:rPr>
  </w:style>
  <w:style w:type="paragraph" w:styleId="3">
    <w:name w:val="footer"/>
    <w:basedOn w:val="1"/>
    <w:uiPriority w:val="99"/>
    <w:pPr>
      <w:tabs>
        <w:tab w:val="center" w:pos="4153"/>
        <w:tab w:val="right" w:pos="8306"/>
      </w:tabs>
      <w:snapToGrid w:val="0"/>
      <w:jc w:val="left"/>
    </w:pPr>
    <w:rPr>
      <w:sz w:val="18"/>
      <w:szCs w:val="18"/>
    </w:rPr>
  </w:style>
  <w:style w:type="character" w:customStyle="1" w:styleId="6">
    <w:name w:val="font11"/>
    <w:basedOn w:val="5"/>
    <w:qFormat/>
    <w:uiPriority w:val="0"/>
    <w:rPr>
      <w:rFonts w:hint="default" w:ascii="Wingdings" w:hAnsi="Wingdings" w:cs="Wingdings"/>
      <w:color w:val="000000"/>
      <w:sz w:val="24"/>
      <w:szCs w:val="24"/>
      <w:u w:val="none"/>
    </w:rPr>
  </w:style>
  <w:style w:type="character" w:customStyle="1" w:styleId="7">
    <w:name w:val="font2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2022-12-28T01:13:00Z</dcterms:created>
  <dc:creator>lenovo</dc:creator>
  <cp:lastModifiedBy>沛沛</cp:lastModifiedBy>
  <dcterms:modified xsi:type="dcterms:W3CDTF">2023-05-29T03:07:58Z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C622DAB3ABF64CD4A8E3D268626C7C95</vt:lpwstr>
  </property>
</Properties>
</file>