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keepNext w:val="0"/>
        <w:keepLines w:val="0"/>
        <w:pageBreakBefore w:val="0"/>
        <w:widowControl w:val="0"/>
        <w:kinsoku/>
        <w:wordWrap/>
        <w:overflowPunct/>
        <w:topLinePunct w:val="0"/>
        <w:bidi w:val="0"/>
        <w:spacing w:line="560" w:lineRule="exact"/>
        <w:ind w:right="0" w:rightChars="0"/>
        <w:textAlignment w:val="auto"/>
        <w:outlineLvl w:val="9"/>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 w:val="0"/>
          <w:bCs w:val="0"/>
          <w:color w:val="000000" w:themeColor="text1"/>
          <w:sz w:val="32"/>
          <w:szCs w:val="32"/>
          <w:lang w:val="en-US" w:eastAsia="zh-CN"/>
          <w14:textFill>
            <w14:solidFill>
              <w14:schemeClr w14:val="tx1"/>
            </w14:solidFill>
          </w14:textFill>
        </w:rPr>
        <w:t>附件1：</w:t>
      </w:r>
      <w:bookmarkStart w:id="0" w:name="_GoBack"/>
      <w:bookmarkEnd w:id="0"/>
    </w:p>
    <w:p>
      <w:pPr>
        <w:pStyle w:val="7"/>
        <w:keepNext w:val="0"/>
        <w:keepLines w:val="0"/>
        <w:pageBreakBefore w:val="0"/>
        <w:widowControl w:val="0"/>
        <w:kinsoku/>
        <w:wordWrap/>
        <w:overflowPunct/>
        <w:topLinePunct w:val="0"/>
        <w:autoSpaceDE/>
        <w:autoSpaceDN/>
        <w:bidi w:val="0"/>
        <w:adjustRightInd/>
        <w:snapToGrid/>
        <w:spacing w:before="0" w:after="0" w:line="0" w:lineRule="atLeast"/>
        <w:ind w:left="0" w:leftChars="0" w:right="0" w:rightChars="0" w:firstLine="0" w:firstLineChars="0"/>
        <w:jc w:val="center"/>
        <w:textAlignment w:val="auto"/>
        <w:outlineLvl w:val="0"/>
        <w:rPr>
          <w:rFonts w:hint="default" w:ascii="Times New Roman" w:hAnsi="Times New Roman" w:eastAsia="方正小标宋简体" w:cs="Times New Roman"/>
          <w:color w:val="auto"/>
          <w:kern w:val="34"/>
          <w:sz w:val="44"/>
          <w:szCs w:val="44"/>
          <w:lang w:val="en-US" w:eastAsia="zh-CN"/>
        </w:rPr>
      </w:pPr>
      <w:r>
        <w:rPr>
          <w:rFonts w:hint="eastAsia" w:ascii="方正小标宋简体" w:hAnsi="方正小标宋简体" w:eastAsia="方正小标宋简体" w:cs="方正小标宋简体"/>
          <w:b w:val="0"/>
          <w:bCs w:val="0"/>
          <w:color w:val="000000" w:themeColor="text1"/>
          <w:sz w:val="44"/>
          <w:szCs w:val="44"/>
          <w:lang w:val="en-US" w:eastAsia="zh-CN"/>
          <w14:textFill>
            <w14:solidFill>
              <w14:schemeClr w14:val="tx1"/>
            </w14:solidFill>
          </w14:textFill>
        </w:rPr>
        <w:t>安宁市交通投资有限公司2023年建设工程造价咨询服务机构</w:t>
      </w:r>
      <w:r>
        <w:rPr>
          <w:rFonts w:hint="default" w:ascii="Times New Roman" w:hAnsi="Times New Roman" w:eastAsia="方正小标宋简体" w:cs="Times New Roman"/>
          <w:color w:val="auto"/>
          <w:kern w:val="34"/>
          <w:sz w:val="44"/>
          <w:szCs w:val="44"/>
          <w:lang w:val="en-US" w:eastAsia="zh-CN"/>
        </w:rPr>
        <w:t>的选聘方案</w:t>
      </w:r>
    </w:p>
    <w:p>
      <w:pPr>
        <w:jc w:val="center"/>
        <w:rPr>
          <w:rFonts w:hint="default"/>
          <w:lang w:val="en-US" w:eastAsia="zh-CN"/>
        </w:rPr>
      </w:pPr>
    </w:p>
    <w:p>
      <w:pPr>
        <w:pStyle w:val="13"/>
        <w:keepNext w:val="0"/>
        <w:keepLines w:val="0"/>
        <w:pageBreakBefore w:val="0"/>
        <w:widowControl/>
        <w:numPr>
          <w:numId w:val="0"/>
        </w:numPr>
        <w:kinsoku/>
        <w:wordWrap/>
        <w:overflowPunct/>
        <w:topLinePunct w:val="0"/>
        <w:autoSpaceDE/>
        <w:autoSpaceDN/>
        <w:bidi w:val="0"/>
        <w:adjustRightInd/>
        <w:snapToGrid/>
        <w:spacing w:before="0" w:beforeAutospacing="0" w:after="0" w:afterAutospacing="0" w:line="576" w:lineRule="exact"/>
        <w:ind w:firstLine="640" w:firstLineChars="200"/>
        <w:jc w:val="both"/>
        <w:textAlignment w:val="auto"/>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根据《昆明市人民政府国有资产监督管理委员会关于规范监管企业选聘中介机构有关事项的通知》昆国资发〔2020〕116号文要求，选聘该事宜的造价咨询服务机构需遵循“三公”原则。现依据文件通过公司官网发布公告开展比选的方式，选聘造价咨询服务机构，具体要求如下：</w:t>
      </w:r>
    </w:p>
    <w:p>
      <w:pPr>
        <w:pStyle w:val="13"/>
        <w:numPr>
          <w:ilvl w:val="0"/>
          <w:numId w:val="1"/>
        </w:numPr>
        <w:spacing w:before="0" w:beforeAutospacing="0" w:after="0" w:afterAutospacing="0" w:line="576" w:lineRule="exact"/>
        <w:ind w:firstLine="640" w:firstLineChars="20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项目名称</w:t>
      </w:r>
    </w:p>
    <w:p>
      <w:pPr>
        <w:pStyle w:val="13"/>
        <w:numPr>
          <w:ilvl w:val="0"/>
          <w:numId w:val="0"/>
        </w:numPr>
        <w:spacing w:before="0" w:beforeAutospacing="0" w:after="0" w:afterAutospacing="0" w:line="576" w:lineRule="exact"/>
        <w:ind w:firstLine="640" w:firstLineChars="200"/>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0"/>
          <w:sz w:val="32"/>
          <w:szCs w:val="32"/>
          <w:lang w:val="en-US" w:eastAsia="zh-CN" w:bidi="ar-SA"/>
          <w14:textFill>
            <w14:solidFill>
              <w14:schemeClr w14:val="tx1"/>
            </w14:solidFill>
          </w14:textFill>
        </w:rPr>
        <w:t>安宁市交通投资有限公司2023年建设工程造价咨询服务机构的选聘公告。</w:t>
      </w:r>
    </w:p>
    <w:p>
      <w:pPr>
        <w:pStyle w:val="13"/>
        <w:numPr>
          <w:ilvl w:val="0"/>
          <w:numId w:val="0"/>
        </w:numPr>
        <w:spacing w:before="0" w:beforeAutospacing="0" w:after="0" w:afterAutospacing="0" w:line="576" w:lineRule="exact"/>
        <w:ind w:firstLine="640" w:firstLineChars="200"/>
        <w:rPr>
          <w:rFonts w:hint="eastAsia" w:ascii="黑体" w:hAnsi="黑体" w:eastAsia="黑体" w:cs="黑体"/>
          <w:color w:val="000000" w:themeColor="text1"/>
          <w:kern w:val="0"/>
          <w:sz w:val="32"/>
          <w:szCs w:val="32"/>
          <w:lang w:val="en-US" w:eastAsia="zh-CN" w:bidi="ar-SA"/>
          <w14:textFill>
            <w14:solidFill>
              <w14:schemeClr w14:val="tx1"/>
            </w14:solidFill>
          </w14:textFill>
        </w:rPr>
      </w:pPr>
      <w:r>
        <w:rPr>
          <w:rFonts w:hint="eastAsia" w:ascii="黑体" w:hAnsi="黑体" w:eastAsia="黑体" w:cs="黑体"/>
          <w:color w:val="000000" w:themeColor="text1"/>
          <w:kern w:val="0"/>
          <w:sz w:val="32"/>
          <w:szCs w:val="32"/>
          <w:lang w:val="en-US" w:eastAsia="zh-CN" w:bidi="ar-SA"/>
          <w14:textFill>
            <w14:solidFill>
              <w14:schemeClr w14:val="tx1"/>
            </w14:solidFill>
          </w14:textFill>
        </w:rPr>
        <w:t>三、项目概况</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安宁市交通投资有限公司2023年建设工程造价咨询工作，选聘公路工程专业和市政工程专业各一家造价咨询单位，并且涵盖（但不限于）以下工作内容：</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1.相关招标项目的工程量清单及最高投标限价编制工作；</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2.工程费用变更及单价分析工作；</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3.协调、配合和工程造价咨询方面诉讼、索赔和审计等相关工作；</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4.工程结算审核工作；</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5.按委托方要求提供咨询报告。</w:t>
      </w:r>
    </w:p>
    <w:p>
      <w:pPr>
        <w:pStyle w:val="13"/>
        <w:numPr>
          <w:ilvl w:val="0"/>
          <w:numId w:val="0"/>
        </w:numPr>
        <w:spacing w:before="0" w:beforeAutospacing="0" w:after="0" w:afterAutospacing="0" w:line="576" w:lineRule="exact"/>
        <w:ind w:firstLine="640" w:firstLineChars="200"/>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三、资格要求</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（一）具有独立法人资格，且项目服务在经营范围内。</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（二）承接过类似工程项目业绩2次以上。</w:t>
      </w:r>
    </w:p>
    <w:p>
      <w:pPr>
        <w:pStyle w:val="13"/>
        <w:numPr>
          <w:ilvl w:val="0"/>
          <w:numId w:val="0"/>
        </w:numPr>
        <w:spacing w:before="0" w:beforeAutospacing="0" w:after="0" w:afterAutospacing="0" w:line="576" w:lineRule="exact"/>
        <w:ind w:firstLine="640" w:firstLineChars="200"/>
        <w:rPr>
          <w:rFonts w:hint="default" w:ascii="楷体_GB2312" w:hAnsi="楷体_GB2312" w:eastAsia="楷体_GB2312" w:cs="楷体_GB2312"/>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（三）通过“信用中国”网站查询谈判申请人未被列入失信被执行人、重大税收违法案件当事人名单、政府采购严重违法失信行为记录名单。</w:t>
      </w:r>
    </w:p>
    <w:p>
      <w:pPr>
        <w:pStyle w:val="13"/>
        <w:numPr>
          <w:ilvl w:val="0"/>
          <w:numId w:val="0"/>
        </w:numPr>
        <w:spacing w:before="0" w:beforeAutospacing="0" w:after="0" w:afterAutospacing="0" w:line="576" w:lineRule="exact"/>
        <w:ind w:firstLine="640" w:firstLineChars="200"/>
        <w:rPr>
          <w:rFonts w:hint="default" w:ascii="黑体" w:hAnsi="黑体" w:eastAsia="黑体"/>
          <w:color w:val="auto"/>
          <w:sz w:val="32"/>
          <w:szCs w:val="32"/>
          <w:lang w:val="en-US" w:eastAsia="zh-CN"/>
        </w:rPr>
      </w:pPr>
      <w:r>
        <w:rPr>
          <w:rFonts w:hint="eastAsia" w:ascii="黑体" w:hAnsi="黑体" w:eastAsia="黑体"/>
          <w:color w:val="auto"/>
          <w:sz w:val="32"/>
          <w:szCs w:val="32"/>
          <w:lang w:val="en-US" w:eastAsia="zh-CN"/>
        </w:rPr>
        <w:t>四、材料准备</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一）组织领导。成立选聘工作领导小组，由安宁市交通投资有限公司总经理、副总经理、党政综合部、财务管理部、发展经营部、项目管理部组成；成立监督小组：由安宁市交通投资有限公司党支部纪检委员及公司监事各1名组成。具体事务由安宁市交通投资有限公司项目管理部负责协调。</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（二）发布公告。通过安宁发展投资集团有限公司官网（www.afzjt.com）发布选聘公告。</w:t>
      </w:r>
    </w:p>
    <w:p>
      <w:pPr>
        <w:pStyle w:val="13"/>
        <w:numPr>
          <w:ilvl w:val="0"/>
          <w:numId w:val="0"/>
        </w:numPr>
        <w:spacing w:before="0" w:beforeAutospacing="0" w:after="0" w:afterAutospacing="0" w:line="576" w:lineRule="exact"/>
        <w:ind w:firstLine="640" w:firstLineChars="200"/>
        <w:rPr>
          <w:rFonts w:hint="default" w:ascii="Times New Roman" w:hAnsi="Times New Roman" w:eastAsia="仿宋_GB2312" w:cs="Times New Roman"/>
          <w:color w:val="auto"/>
          <w:kern w:val="0"/>
          <w:sz w:val="32"/>
          <w:szCs w:val="32"/>
          <w:lang w:val="en-US" w:eastAsia="zh-CN" w:bidi="ar-SA"/>
        </w:rPr>
      </w:pPr>
      <w:r>
        <w:rPr>
          <w:rFonts w:hint="default" w:ascii="Times New Roman" w:hAnsi="Times New Roman" w:eastAsia="仿宋_GB2312" w:cs="Times New Roman"/>
          <w:color w:val="auto"/>
          <w:kern w:val="0"/>
          <w:sz w:val="32"/>
          <w:szCs w:val="32"/>
          <w:lang w:val="en-US" w:eastAsia="zh-CN" w:bidi="ar-SA"/>
        </w:rPr>
        <w:t>（三）报名。参选单位可根据选聘条件在规定时间内将报名材料送至公告报名资料送达地址，公路工程专业和市政工程专业只能报一项。</w:t>
      </w:r>
    </w:p>
    <w:p>
      <w:pPr>
        <w:pStyle w:val="13"/>
        <w:spacing w:before="0" w:beforeAutospacing="0" w:after="0" w:afterAutospacing="0" w:line="576" w:lineRule="exact"/>
        <w:ind w:firstLine="640" w:firstLineChars="200"/>
        <w:rPr>
          <w:rFonts w:hint="default" w:ascii="Times New Roman" w:hAnsi="Times New Roman" w:eastAsia="仿宋_GB2312" w:cs="Times New Roman"/>
          <w:color w:val="000000" w:themeColor="text1"/>
          <w:sz w:val="32"/>
          <w:szCs w:val="32"/>
          <w14:textFill>
            <w14:solidFill>
              <w14:schemeClr w14:val="tx1"/>
            </w14:solidFill>
          </w14:textFill>
        </w:rPr>
      </w:pPr>
      <w:r>
        <w:rPr>
          <w:rFonts w:hint="default" w:ascii="Times New Roman" w:hAnsi="Times New Roman" w:eastAsia="仿宋_GB2312" w:cs="Times New Roman"/>
          <w:color w:val="auto"/>
          <w:sz w:val="32"/>
          <w:szCs w:val="32"/>
        </w:rPr>
        <w:t>（四）资格审查及比选。</w:t>
      </w:r>
      <w:r>
        <w:rPr>
          <w:rFonts w:hint="default" w:ascii="Times New Roman" w:hAnsi="Times New Roman" w:eastAsia="仿宋_GB2312" w:cs="Times New Roman"/>
          <w:color w:val="auto"/>
          <w:kern w:val="0"/>
          <w:sz w:val="32"/>
          <w:szCs w:val="32"/>
          <w:lang w:val="en-US" w:eastAsia="zh-CN" w:bidi="ar-SA"/>
        </w:rPr>
        <w:t>选聘工作领导小组对申报机构进行资格审查，并根据选聘</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公告中的综合评分进行比选，按评分最高者，依次确定第一、第二候选人、第三候选人。</w:t>
      </w:r>
    </w:p>
    <w:p>
      <w:pPr>
        <w:pStyle w:val="13"/>
        <w:spacing w:before="0" w:beforeAutospacing="0" w:after="0" w:afterAutospacing="0" w:line="576" w:lineRule="exact"/>
        <w:ind w:firstLine="640" w:firstLineChars="200"/>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pPr>
      <w:r>
        <w:rPr>
          <w:rFonts w:hint="default" w:ascii="Times New Roman" w:hAnsi="Times New Roman" w:eastAsia="仿宋_GB2312" w:cs="Times New Roman"/>
          <w:color w:val="000000" w:themeColor="text1"/>
          <w:sz w:val="32"/>
          <w:szCs w:val="32"/>
          <w14:textFill>
            <w14:solidFill>
              <w14:schemeClr w14:val="tx1"/>
            </w14:solidFill>
          </w14:textFill>
        </w:rPr>
        <w:t>（五）</w:t>
      </w: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确定入选机构。根据比选情况，报告安宁市交通投资有限公司总经理办公会，确定入选机构。</w:t>
      </w:r>
    </w:p>
    <w:p>
      <w:pPr>
        <w:pStyle w:val="13"/>
        <w:spacing w:before="0" w:beforeAutospacing="0" w:after="0" w:afterAutospacing="0" w:line="576" w:lineRule="exact"/>
        <w:ind w:firstLine="640" w:firstLineChars="200"/>
        <w:rPr>
          <w:rFonts w:hint="default" w:ascii="Times New Roman" w:hAnsi="Times New Roman" w:eastAsia="仿宋_GB2312" w:cs="Times New Roman"/>
          <w:b w:val="0"/>
          <w:bCs w:val="0"/>
          <w:color w:val="000000" w:themeColor="text1"/>
          <w:sz w:val="32"/>
          <w:szCs w:val="32"/>
          <w:lang w:val="en-US" w:eastAsia="zh-CN"/>
          <w14:textFill>
            <w14:solidFill>
              <w14:schemeClr w14:val="tx1"/>
            </w14:solidFill>
          </w14:textFill>
        </w:rPr>
      </w:pPr>
      <w:r>
        <w:rPr>
          <w:rFonts w:hint="default" w:ascii="Times New Roman" w:hAnsi="Times New Roman" w:eastAsia="仿宋_GB2312" w:cs="Times New Roman"/>
          <w:color w:val="000000" w:themeColor="text1"/>
          <w:kern w:val="0"/>
          <w:sz w:val="32"/>
          <w:szCs w:val="32"/>
          <w:lang w:val="en-US" w:eastAsia="zh-CN" w:bidi="ar-SA"/>
          <w14:textFill>
            <w14:solidFill>
              <w14:schemeClr w14:val="tx1"/>
            </w14:solidFill>
          </w14:textFill>
        </w:rPr>
        <w:t>（六）合同签订。安宁市交通投资有限公司按程序签订</w:t>
      </w:r>
      <w:r>
        <w:rPr>
          <w:rFonts w:hint="default" w:ascii="Times New Roman" w:hAnsi="Times New Roman" w:eastAsia="仿宋_GB2312" w:cs="Times New Roman"/>
          <w:color w:val="000000" w:themeColor="text1"/>
          <w:sz w:val="32"/>
          <w:szCs w:val="32"/>
          <w14:textFill>
            <w14:solidFill>
              <w14:schemeClr w14:val="tx1"/>
            </w14:solidFill>
          </w14:textFill>
        </w:rPr>
        <w:t>合同。</w:t>
      </w: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">
              <v:fill on="f" focussize="0,0"/>
              <v:stroke on="f" weight="0.5pt"/>
              <v:imagedata o:title=""/>
              <o:lock v:ext="edit" aspectratio="f"/>
              <v:textbox inset="0mm,0mm,0mm,0mm" style="mso-fit-shape-to-text:t;">
                <w:txbxContent>
                  <w:p>
                    <w:pPr>
                      <w:pStyle w:val="4"/>
                      <w:rPr>
                        <w:sz w:val="24"/>
                        <w:szCs w:val="24"/>
                      </w:rPr>
                    </w:pPr>
                    <w:r>
                      <w:rPr>
                        <w:sz w:val="24"/>
                        <w:szCs w:val="24"/>
                      </w:rPr>
                      <w:t xml:space="preserve">— </w:t>
                    </w:r>
                    <w:r>
                      <w:rPr>
                        <w:sz w:val="24"/>
                        <w:szCs w:val="24"/>
                      </w:rPr>
                      <w:fldChar w:fldCharType="begin"/>
                    </w:r>
                    <w:r>
                      <w:rPr>
                        <w:sz w:val="24"/>
                        <w:szCs w:val="24"/>
                      </w:rPr>
                      <w:instrText xml:space="preserve"> PAGE  \* MERGEFORMAT </w:instrText>
                    </w:r>
                    <w:r>
                      <w:rPr>
                        <w:sz w:val="24"/>
                        <w:szCs w:val="24"/>
                      </w:rPr>
                      <w:fldChar w:fldCharType="separate"/>
                    </w:r>
                    <w:r>
                      <w:rPr>
                        <w:sz w:val="24"/>
                        <w:szCs w:val="24"/>
                      </w:rPr>
                      <w:t>1</w:t>
                    </w:r>
                    <w:r>
                      <w:rPr>
                        <w:sz w:val="24"/>
                        <w:szCs w:val="24"/>
                      </w:rPr>
                      <w:fldChar w:fldCharType="end"/>
                    </w:r>
                    <w:r>
                      <w:rPr>
                        <w:sz w:val="24"/>
                        <w:szCs w:val="24"/>
                      </w:rPr>
                      <w:t xml:space="preserve">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918427"/>
    <w:multiLevelType w:val="singleLevel"/>
    <w:tmpl w:val="3C91842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RkNWIzNDk0M2E4ZjMyOTEzODU3N2U2ZDcyMTk5YzYifQ=="/>
  </w:docVars>
  <w:rsids>
    <w:rsidRoot w:val="7A030831"/>
    <w:rsid w:val="01C13CDF"/>
    <w:rsid w:val="02422F53"/>
    <w:rsid w:val="05502976"/>
    <w:rsid w:val="056F6BFE"/>
    <w:rsid w:val="06411D93"/>
    <w:rsid w:val="08731B95"/>
    <w:rsid w:val="0A785275"/>
    <w:rsid w:val="0B675EAE"/>
    <w:rsid w:val="0CC44DDB"/>
    <w:rsid w:val="0DB66A2E"/>
    <w:rsid w:val="11390774"/>
    <w:rsid w:val="12C806B6"/>
    <w:rsid w:val="12DB10D9"/>
    <w:rsid w:val="13312E0C"/>
    <w:rsid w:val="137A1D69"/>
    <w:rsid w:val="15300C0E"/>
    <w:rsid w:val="15FF2BD7"/>
    <w:rsid w:val="18717781"/>
    <w:rsid w:val="19136EB8"/>
    <w:rsid w:val="19412858"/>
    <w:rsid w:val="1A2B7F87"/>
    <w:rsid w:val="1A394239"/>
    <w:rsid w:val="1B520848"/>
    <w:rsid w:val="1BE0460E"/>
    <w:rsid w:val="1CE6290A"/>
    <w:rsid w:val="207B6C5F"/>
    <w:rsid w:val="24923750"/>
    <w:rsid w:val="24EA02AB"/>
    <w:rsid w:val="27764523"/>
    <w:rsid w:val="29133B45"/>
    <w:rsid w:val="29D641F3"/>
    <w:rsid w:val="2ABC6994"/>
    <w:rsid w:val="2C0705E3"/>
    <w:rsid w:val="2DDA7996"/>
    <w:rsid w:val="2E697074"/>
    <w:rsid w:val="2FB57D4E"/>
    <w:rsid w:val="32CE2FBA"/>
    <w:rsid w:val="33D85B85"/>
    <w:rsid w:val="37DD6307"/>
    <w:rsid w:val="3C7E28D6"/>
    <w:rsid w:val="3F38635F"/>
    <w:rsid w:val="42E67EAC"/>
    <w:rsid w:val="43C80797"/>
    <w:rsid w:val="44CB1204"/>
    <w:rsid w:val="44EF3992"/>
    <w:rsid w:val="46F15BD1"/>
    <w:rsid w:val="471A64F5"/>
    <w:rsid w:val="47305B9A"/>
    <w:rsid w:val="4B2F6980"/>
    <w:rsid w:val="4D135D02"/>
    <w:rsid w:val="4D440BD4"/>
    <w:rsid w:val="532E154D"/>
    <w:rsid w:val="5719262C"/>
    <w:rsid w:val="578B222F"/>
    <w:rsid w:val="58633EED"/>
    <w:rsid w:val="59C4234C"/>
    <w:rsid w:val="5CC616BE"/>
    <w:rsid w:val="5F5E6FE8"/>
    <w:rsid w:val="6053751B"/>
    <w:rsid w:val="61172075"/>
    <w:rsid w:val="616C77C9"/>
    <w:rsid w:val="61701B69"/>
    <w:rsid w:val="621D6C97"/>
    <w:rsid w:val="626219BA"/>
    <w:rsid w:val="630813DE"/>
    <w:rsid w:val="6728507B"/>
    <w:rsid w:val="673413D4"/>
    <w:rsid w:val="67D71F7F"/>
    <w:rsid w:val="69A05E76"/>
    <w:rsid w:val="6AAD4280"/>
    <w:rsid w:val="6BE97893"/>
    <w:rsid w:val="6FEB075F"/>
    <w:rsid w:val="7056478D"/>
    <w:rsid w:val="78FA6D33"/>
    <w:rsid w:val="7A030831"/>
    <w:rsid w:val="7A207D3F"/>
    <w:rsid w:val="7AB247A1"/>
    <w:rsid w:val="7AC3688A"/>
    <w:rsid w:val="7BAA3AA8"/>
    <w:rsid w:val="7CE06B3C"/>
    <w:rsid w:val="7E4F63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仿宋_GB2312" w:cs="Times New Roman"/>
      <w:kern w:val="2"/>
      <w:sz w:val="28"/>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line="360" w:lineRule="auto"/>
    </w:pPr>
    <w:rPr>
      <w:rFonts w:ascii="Calibri" w:hAnsi="Calibri"/>
      <w:sz w:val="32"/>
      <w:szCs w:val="20"/>
    </w:rPr>
  </w:style>
  <w:style w:type="paragraph" w:styleId="3">
    <w:name w:val="toc 5"/>
    <w:basedOn w:val="1"/>
    <w:next w:val="1"/>
    <w:qFormat/>
    <w:uiPriority w:val="0"/>
    <w:pPr>
      <w:ind w:left="1680" w:leftChars="800"/>
    </w:p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7">
    <w:name w:val="Title"/>
    <w:basedOn w:val="1"/>
    <w:next w:val="1"/>
    <w:qFormat/>
    <w:uiPriority w:val="10"/>
    <w:pPr>
      <w:spacing w:before="240" w:after="60"/>
      <w:jc w:val="center"/>
      <w:outlineLvl w:val="0"/>
    </w:pPr>
    <w:rPr>
      <w:rFonts w:ascii="Cambria" w:hAnsi="Cambria" w:eastAsia="宋体" w:cs="Times New Roman"/>
      <w:b/>
      <w:bCs/>
      <w:sz w:val="32"/>
      <w:szCs w:val="32"/>
    </w:rPr>
  </w:style>
  <w:style w:type="character" w:styleId="10">
    <w:name w:val="Strong"/>
    <w:basedOn w:val="9"/>
    <w:qFormat/>
    <w:uiPriority w:val="0"/>
    <w:rPr>
      <w:b/>
    </w:rPr>
  </w:style>
  <w:style w:type="paragraph" w:customStyle="1" w:styleId="11">
    <w:name w:val="正文缩进1"/>
    <w:basedOn w:val="1"/>
    <w:qFormat/>
    <w:uiPriority w:val="99"/>
    <w:pPr>
      <w:ind w:firstLine="420" w:firstLineChars="200"/>
    </w:pPr>
    <w:rPr>
      <w:szCs w:val="24"/>
    </w:rPr>
  </w:style>
  <w:style w:type="paragraph" w:customStyle="1" w:styleId="12">
    <w:name w:val="Default"/>
    <w:qFormat/>
    <w:uiPriority w:val="0"/>
    <w:pPr>
      <w:widowControl w:val="0"/>
      <w:autoSpaceDE w:val="0"/>
      <w:autoSpaceDN w:val="0"/>
      <w:adjustRightInd w:val="0"/>
    </w:pPr>
    <w:rPr>
      <w:rFonts w:ascii="宋体" w:hAnsi="宋体" w:eastAsia="宋体" w:cs="Times New Roman"/>
      <w:color w:val="000000"/>
      <w:sz w:val="24"/>
      <w:szCs w:val="22"/>
      <w:lang w:val="en-US" w:eastAsia="zh-CN" w:bidi="ar-SA"/>
    </w:rPr>
  </w:style>
  <w:style w:type="paragraph" w:customStyle="1" w:styleId="13">
    <w:name w:val="paragraph"/>
    <w:basedOn w:val="1"/>
    <w:qFormat/>
    <w:uiPriority w:val="0"/>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昆明市五华区党政机关单位</Company>
  <Pages>3</Pages>
  <Words>840</Words>
  <Characters>871</Characters>
  <Lines>0</Lines>
  <Paragraphs>0</Paragraphs>
  <TotalTime>2</TotalTime>
  <ScaleCrop>false</ScaleCrop>
  <LinksUpToDate>false</LinksUpToDate>
  <CharactersWithSpaces>871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2022-07-18T07:04:00Z</dcterms:created>
  <dc:creator>Administrator</dc:creator>
  <cp:lastModifiedBy>孙</cp:lastModifiedBy>
  <cp:lastPrinted>2023-01-09T01:03:00Z</cp:lastPrinted>
  <dcterms:modified xsi:type="dcterms:W3CDTF">2023-01-09T08:47:17Z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77F9619B5C0F446394236025F953FC1A</vt:lpwstr>
  </property>
</Properties>
</file>