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sz w:val="44"/>
          <w:szCs w:val="44"/>
          <w:lang w:val="en-US" w:eastAsia="zh-CN"/>
        </w:rPr>
        <w:t>安宁城市文化中心存量商户处置事宜专项</w:t>
      </w:r>
      <w:r>
        <w:rPr>
          <w:rFonts w:hint="default" w:ascii="方正小标宋简体" w:hAnsi="方正小标宋简体" w:eastAsia="方正小标宋简体" w:cs="方正小标宋简体"/>
          <w:sz w:val="44"/>
          <w:szCs w:val="44"/>
          <w:lang w:val="en-US" w:eastAsia="zh-CN"/>
        </w:rPr>
        <w:t>法律</w:t>
      </w:r>
      <w:r>
        <w:rPr>
          <w:rFonts w:hint="eastAsia" w:ascii="方正小标宋简体" w:hAnsi="方正小标宋简体" w:eastAsia="方正小标宋简体" w:cs="方正小标宋简体"/>
          <w:sz w:val="44"/>
          <w:szCs w:val="44"/>
          <w:lang w:val="en-US" w:eastAsia="zh-CN"/>
        </w:rPr>
        <w:t>服务选聘</w:t>
      </w:r>
      <w:bookmarkStart w:id="0" w:name="_GoBack"/>
      <w:r>
        <w:rPr>
          <w:rFonts w:hint="eastAsia" w:ascii="方正小标宋简体" w:hAnsi="方正小标宋简体" w:eastAsia="方正小标宋简体" w:cs="方正小标宋简体"/>
          <w:color w:val="000000"/>
          <w:sz w:val="44"/>
          <w:szCs w:val="44"/>
        </w:rPr>
        <w:t>项目</w:t>
      </w:r>
      <w:r>
        <w:rPr>
          <w:rFonts w:hint="eastAsia" w:ascii="方正小标宋简体" w:hAnsi="方正小标宋简体" w:eastAsia="方正小标宋简体" w:cs="方正小标宋简体"/>
          <w:color w:val="000000"/>
          <w:sz w:val="44"/>
          <w:szCs w:val="44"/>
          <w:lang w:val="en-US" w:eastAsia="zh-CN"/>
        </w:rPr>
        <w:t>评分表</w:t>
      </w:r>
      <w:bookmarkEnd w:id="0"/>
    </w:p>
    <w:tbl>
      <w:tblPr>
        <w:tblStyle w:val="4"/>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57"/>
        <w:gridCol w:w="825"/>
        <w:gridCol w:w="5258"/>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序号</w:t>
            </w:r>
          </w:p>
        </w:tc>
        <w:tc>
          <w:tcPr>
            <w:tcW w:w="1657"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黑体" w:hAnsi="黑体" w:eastAsia="黑体" w:cs="黑体"/>
                <w:vertAlign w:val="baseline"/>
                <w:lang w:val="en-US" w:eastAsia="zh-CN"/>
              </w:rPr>
            </w:pPr>
            <w:r>
              <w:rPr>
                <w:rFonts w:hint="eastAsia" w:ascii="黑体" w:hAnsi="黑体" w:eastAsia="黑体" w:cs="黑体"/>
                <w:vertAlign w:val="baseline"/>
                <w:lang w:val="en-US" w:eastAsia="zh-CN"/>
              </w:rPr>
              <w:t>评标内容</w:t>
            </w:r>
          </w:p>
        </w:tc>
        <w:tc>
          <w:tcPr>
            <w:tcW w:w="825"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分值</w:t>
            </w:r>
          </w:p>
        </w:tc>
        <w:tc>
          <w:tcPr>
            <w:tcW w:w="5258"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评分标准</w:t>
            </w:r>
          </w:p>
        </w:tc>
        <w:tc>
          <w:tcPr>
            <w:tcW w:w="1057"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5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一</w:t>
            </w: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报价</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35</w:t>
            </w:r>
          </w:p>
        </w:tc>
        <w:tc>
          <w:tcPr>
            <w:tcW w:w="525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报价平均值为评标基准价，其他投标报价与其相比（差值）每下浮1%扣0.5分，每上浮1%扣1分，分数扣完为止。（超过拦标价不参与评标基准价计算）</w:t>
            </w:r>
          </w:p>
        </w:tc>
        <w:tc>
          <w:tcPr>
            <w:tcW w:w="10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5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二</w:t>
            </w: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资信情况</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1</w:t>
            </w:r>
            <w:r>
              <w:rPr>
                <w:rFonts w:hint="eastAsia" w:cs="Times New Roman"/>
                <w:sz w:val="28"/>
                <w:szCs w:val="28"/>
                <w:vertAlign w:val="baseline"/>
                <w:lang w:val="en-US" w:eastAsia="zh-CN"/>
              </w:rPr>
              <w:t>5</w:t>
            </w:r>
          </w:p>
        </w:tc>
        <w:tc>
          <w:tcPr>
            <w:tcW w:w="525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1.提供合法有效且年检合格的律师事务所执业许可证：按要求提供的5分，未按要求提供得0分；</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2.成立时间：10年以上得5分，5年以上得3分，不足5年得1分；</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仿宋_GB2312" w:cs="Times New Roman"/>
                <w:sz w:val="28"/>
                <w:szCs w:val="28"/>
                <w:vertAlign w:val="baseline"/>
                <w:lang w:val="en-US" w:eastAsia="zh-Hans"/>
              </w:rPr>
            </w:pPr>
            <w:r>
              <w:rPr>
                <w:rFonts w:hint="default" w:ascii="Times New Roman" w:hAnsi="Times New Roman" w:eastAsia="仿宋_GB2312" w:cs="Times New Roman"/>
                <w:sz w:val="28"/>
                <w:szCs w:val="28"/>
                <w:vertAlign w:val="baseline"/>
                <w:lang w:val="en-US" w:eastAsia="zh-CN"/>
              </w:rPr>
              <w:t>3.提供律所三年内未被相关主管部门和行业协会给予行政处罚或行业处分的证明材料和在经营活动中没有重大违法记录以及目前未被处于责令停业，财产被接管、冻结或破产状态的承诺书：按要求提供的5分，未按要求提供得0分。</w:t>
            </w:r>
          </w:p>
        </w:tc>
        <w:tc>
          <w:tcPr>
            <w:tcW w:w="10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三</w:t>
            </w: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服务承诺</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10</w:t>
            </w:r>
          </w:p>
        </w:tc>
        <w:tc>
          <w:tcPr>
            <w:tcW w:w="525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对公司</w:t>
            </w:r>
            <w:r>
              <w:rPr>
                <w:rFonts w:hint="eastAsia" w:cs="Times New Roman"/>
                <w:sz w:val="28"/>
                <w:szCs w:val="28"/>
                <w:vertAlign w:val="baseline"/>
                <w:lang w:val="en-US" w:eastAsia="zh-CN"/>
              </w:rPr>
              <w:t>安宁城市文化中心存量商户处置事宜提出</w:t>
            </w:r>
            <w:r>
              <w:rPr>
                <w:rFonts w:hint="default" w:ascii="Times New Roman" w:hAnsi="Times New Roman" w:eastAsia="仿宋_GB2312" w:cs="Times New Roman"/>
                <w:sz w:val="28"/>
                <w:szCs w:val="28"/>
                <w:vertAlign w:val="baseline"/>
                <w:lang w:val="en-US" w:eastAsia="zh-CN"/>
              </w:rPr>
              <w:t>具体而充实的服务承诺：</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1.承诺非常充分并有违约责任表述的，得8-10分；</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2.较为充分并有违约责任表述的，得4-7分；</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3.基本充分但无违约责任表述的，得0-3分。</w:t>
            </w:r>
          </w:p>
        </w:tc>
        <w:tc>
          <w:tcPr>
            <w:tcW w:w="10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四</w:t>
            </w: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服务方案</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20</w:t>
            </w:r>
          </w:p>
        </w:tc>
        <w:tc>
          <w:tcPr>
            <w:tcW w:w="525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参选律所对</w:t>
            </w:r>
            <w:r>
              <w:rPr>
                <w:rFonts w:hint="eastAsia" w:cs="Times New Roman"/>
                <w:sz w:val="28"/>
                <w:szCs w:val="28"/>
                <w:vertAlign w:val="baseline"/>
                <w:lang w:val="en-US" w:eastAsia="zh-CN"/>
              </w:rPr>
              <w:t>安宁城市文化中心存量商户处置事宜</w:t>
            </w:r>
            <w:r>
              <w:rPr>
                <w:rFonts w:hint="default" w:ascii="Times New Roman" w:hAnsi="Times New Roman" w:eastAsia="仿宋_GB2312" w:cs="Times New Roman"/>
                <w:color w:val="000000"/>
                <w:kern w:val="0"/>
                <w:sz w:val="28"/>
                <w:szCs w:val="28"/>
                <w:lang w:val="en-US" w:eastAsia="zh-CN"/>
              </w:rPr>
              <w:t>有具体的工作部署和安排：</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仿宋_GB2312" w:cs="Times New Roman"/>
                <w:color w:val="000000"/>
                <w:kern w:val="0"/>
                <w:sz w:val="28"/>
                <w:szCs w:val="28"/>
                <w:vertAlign w:val="baseline"/>
                <w:lang w:val="en-US" w:eastAsia="zh-CN"/>
              </w:rPr>
            </w:pPr>
            <w:r>
              <w:rPr>
                <w:rFonts w:hint="default" w:ascii="Times New Roman" w:hAnsi="Times New Roman" w:eastAsia="仿宋_GB2312" w:cs="Times New Roman"/>
                <w:color w:val="000000"/>
                <w:kern w:val="0"/>
                <w:sz w:val="28"/>
                <w:szCs w:val="28"/>
                <w:lang w:val="en-US" w:eastAsia="zh-CN"/>
              </w:rPr>
              <w:t>1.具有</w:t>
            </w:r>
            <w:r>
              <w:rPr>
                <w:rFonts w:hint="default" w:ascii="Times New Roman" w:hAnsi="Times New Roman" w:eastAsia="仿宋_GB2312" w:cs="Times New Roman"/>
                <w:color w:val="000000"/>
                <w:kern w:val="0"/>
                <w:sz w:val="28"/>
                <w:szCs w:val="28"/>
                <w:vertAlign w:val="baseline"/>
                <w:lang w:val="en-US" w:eastAsia="zh-CN"/>
              </w:rPr>
              <w:t>非常充分的工作部署和安排的，得12-20分；</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2.较为充分的工作部署和安排的，得6-11分；</w:t>
            </w:r>
          </w:p>
          <w:p>
            <w:pPr>
              <w:pStyle w:val="6"/>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vertAlign w:val="baseline"/>
                <w:lang w:val="en-US" w:eastAsia="zh-CN"/>
              </w:rPr>
              <w:t>3.基本充分的工作部署和安排的，得0-5分。</w:t>
            </w:r>
          </w:p>
        </w:tc>
        <w:tc>
          <w:tcPr>
            <w:tcW w:w="10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五</w:t>
            </w: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服务团队及项目人员配备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lang w:val="en-US" w:eastAsia="zh-CN"/>
              </w:rPr>
            </w:pPr>
          </w:p>
          <w:p>
            <w:pPr>
              <w:pStyle w:val="6"/>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sz w:val="28"/>
                <w:szCs w:val="28"/>
                <w:lang w:val="en-US" w:eastAsia="zh-CN"/>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default" w:ascii="Times New Roman" w:hAnsi="Times New Roman" w:eastAsia="仿宋_GB2312" w:cs="Times New Roman"/>
                <w:sz w:val="28"/>
                <w:szCs w:val="28"/>
                <w:vertAlign w:val="baseline"/>
                <w:lang w:val="en-US" w:eastAsia="zh-CN"/>
              </w:rPr>
            </w:pPr>
            <w:r>
              <w:rPr>
                <w:rFonts w:hint="eastAsia" w:cs="Times New Roman"/>
                <w:sz w:val="28"/>
                <w:szCs w:val="28"/>
                <w:vertAlign w:val="baseline"/>
                <w:lang w:val="en-US" w:eastAsia="zh-CN"/>
              </w:rPr>
              <w:t>10</w:t>
            </w:r>
          </w:p>
        </w:tc>
        <w:tc>
          <w:tcPr>
            <w:tcW w:w="525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对</w:t>
            </w:r>
            <w:r>
              <w:rPr>
                <w:rFonts w:hint="default" w:ascii="Times New Roman" w:hAnsi="Times New Roman" w:eastAsia="仿宋_GB2312" w:cs="Times New Roman"/>
                <w:color w:val="000000"/>
                <w:kern w:val="0"/>
                <w:sz w:val="28"/>
                <w:szCs w:val="28"/>
                <w:lang w:val="en-US" w:eastAsia="zh-CN"/>
              </w:rPr>
              <w:t>公司</w:t>
            </w:r>
            <w:r>
              <w:rPr>
                <w:rFonts w:hint="eastAsia" w:cs="Times New Roman"/>
                <w:sz w:val="28"/>
                <w:szCs w:val="28"/>
                <w:vertAlign w:val="baseline"/>
                <w:lang w:val="en-US" w:eastAsia="zh-CN"/>
              </w:rPr>
              <w:t>安宁城市文化中心存量商户处置事宜法律</w:t>
            </w:r>
            <w:r>
              <w:rPr>
                <w:rFonts w:hint="default" w:ascii="Times New Roman" w:hAnsi="Times New Roman" w:eastAsia="仿宋_GB2312" w:cs="Times New Roman"/>
                <w:color w:val="000000"/>
                <w:kern w:val="0"/>
                <w:sz w:val="28"/>
                <w:szCs w:val="28"/>
                <w:lang w:val="en-US" w:eastAsia="zh-CN"/>
              </w:rPr>
              <w:t>服务团队人员简介，拟指派律师的业务专长、执业经历、已承办的项目经验及个人获得的荣誉业绩等</w:t>
            </w:r>
            <w:r>
              <w:rPr>
                <w:rFonts w:hint="default" w:ascii="Times New Roman" w:hAnsi="Times New Roman" w:eastAsia="仿宋_GB2312" w:cs="Times New Roman"/>
                <w:sz w:val="28"/>
                <w:szCs w:val="28"/>
                <w:vertAlign w:val="baseline"/>
                <w:lang w:val="en-US" w:eastAsia="zh-CN"/>
              </w:rPr>
              <w:t>进行综合评审，按0-</w:t>
            </w:r>
            <w:r>
              <w:rPr>
                <w:rFonts w:hint="eastAsia" w:cs="Times New Roman"/>
                <w:sz w:val="28"/>
                <w:szCs w:val="28"/>
                <w:vertAlign w:val="baseline"/>
                <w:lang w:val="en-US" w:eastAsia="zh-CN"/>
              </w:rPr>
              <w:t>10</w:t>
            </w:r>
            <w:r>
              <w:rPr>
                <w:rFonts w:hint="default" w:ascii="Times New Roman" w:hAnsi="Times New Roman" w:eastAsia="仿宋_GB2312" w:cs="Times New Roman"/>
                <w:sz w:val="28"/>
                <w:szCs w:val="28"/>
                <w:vertAlign w:val="baseline"/>
                <w:lang w:val="en-US" w:eastAsia="zh-CN"/>
              </w:rPr>
              <w:t>分打分。</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注：提供律师执业资格证书相关证明材料等复印件。</w:t>
            </w:r>
          </w:p>
        </w:tc>
        <w:tc>
          <w:tcPr>
            <w:tcW w:w="10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六</w:t>
            </w: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企业业绩</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eastAsia" w:cs="Times New Roman"/>
                <w:kern w:val="2"/>
                <w:sz w:val="28"/>
                <w:szCs w:val="28"/>
                <w:vertAlign w:val="baseline"/>
                <w:lang w:val="en-US" w:eastAsia="zh-CN" w:bidi="ar-SA"/>
              </w:rPr>
              <w:t>5</w:t>
            </w:r>
          </w:p>
        </w:tc>
        <w:tc>
          <w:tcPr>
            <w:tcW w:w="525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vertAlign w:val="baseline"/>
                <w:lang w:val="en-US" w:eastAsia="zh-CN"/>
              </w:rPr>
              <w:t>每提供一个独立承担类似</w:t>
            </w:r>
            <w:r>
              <w:rPr>
                <w:rFonts w:hint="eastAsia" w:cs="Times New Roman"/>
                <w:sz w:val="28"/>
                <w:szCs w:val="28"/>
                <w:vertAlign w:val="baseline"/>
                <w:lang w:val="en-US" w:eastAsia="zh-CN"/>
              </w:rPr>
              <w:t>项目</w:t>
            </w:r>
            <w:r>
              <w:rPr>
                <w:rFonts w:hint="default" w:ascii="Times New Roman" w:hAnsi="Times New Roman" w:eastAsia="仿宋_GB2312" w:cs="Times New Roman"/>
                <w:sz w:val="28"/>
                <w:szCs w:val="28"/>
                <w:vertAlign w:val="baseline"/>
                <w:lang w:val="en-US" w:eastAsia="zh-CN"/>
              </w:rPr>
              <w:t>服务工作业绩得</w:t>
            </w:r>
            <w:r>
              <w:rPr>
                <w:rFonts w:hint="eastAsia" w:cs="Times New Roman"/>
                <w:sz w:val="28"/>
                <w:szCs w:val="28"/>
                <w:vertAlign w:val="baseline"/>
                <w:lang w:val="en-US" w:eastAsia="zh-CN"/>
              </w:rPr>
              <w:t>1</w:t>
            </w:r>
            <w:r>
              <w:rPr>
                <w:rFonts w:hint="default" w:ascii="Times New Roman" w:hAnsi="Times New Roman" w:eastAsia="仿宋_GB2312" w:cs="Times New Roman"/>
                <w:sz w:val="28"/>
                <w:szCs w:val="28"/>
                <w:vertAlign w:val="baseline"/>
                <w:lang w:val="en-US" w:eastAsia="zh-CN"/>
              </w:rPr>
              <w:t>分，满分</w:t>
            </w:r>
            <w:r>
              <w:rPr>
                <w:rFonts w:hint="eastAsia" w:cs="Times New Roman"/>
                <w:sz w:val="28"/>
                <w:szCs w:val="28"/>
                <w:vertAlign w:val="baseline"/>
                <w:lang w:val="en-US" w:eastAsia="zh-CN"/>
              </w:rPr>
              <w:t>5</w:t>
            </w:r>
            <w:r>
              <w:rPr>
                <w:rFonts w:hint="default" w:ascii="Times New Roman" w:hAnsi="Times New Roman" w:eastAsia="仿宋_GB2312" w:cs="Times New Roman"/>
                <w:sz w:val="28"/>
                <w:szCs w:val="28"/>
                <w:vertAlign w:val="baseline"/>
                <w:lang w:val="en-US" w:eastAsia="zh-CN"/>
              </w:rPr>
              <w:t>分。</w:t>
            </w:r>
          </w:p>
        </w:tc>
        <w:tc>
          <w:tcPr>
            <w:tcW w:w="10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七</w:t>
            </w:r>
          </w:p>
        </w:tc>
        <w:tc>
          <w:tcPr>
            <w:tcW w:w="16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highlight w:val="none"/>
                <w:vertAlign w:val="baseline"/>
                <w:lang w:val="en-US" w:eastAsia="zh-CN"/>
              </w:rPr>
            </w:pPr>
            <w:r>
              <w:rPr>
                <w:rFonts w:hint="default" w:ascii="Times New Roman" w:hAnsi="Times New Roman" w:eastAsia="仿宋_GB2312" w:cs="Times New Roman"/>
                <w:sz w:val="28"/>
                <w:szCs w:val="28"/>
                <w:highlight w:val="none"/>
                <w:vertAlign w:val="baseline"/>
                <w:lang w:val="en-US" w:eastAsia="zh-CN"/>
              </w:rPr>
              <w:t>加分项</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highlight w:val="none"/>
                <w:vertAlign w:val="baseline"/>
                <w:lang w:val="en-US" w:eastAsia="zh-CN"/>
              </w:rPr>
            </w:pPr>
            <w:r>
              <w:rPr>
                <w:rFonts w:hint="default" w:ascii="Times New Roman" w:hAnsi="Times New Roman" w:eastAsia="仿宋_GB2312" w:cs="Times New Roman"/>
                <w:sz w:val="28"/>
                <w:szCs w:val="28"/>
                <w:highlight w:val="none"/>
                <w:vertAlign w:val="baseline"/>
                <w:lang w:val="en-US" w:eastAsia="zh-CN"/>
              </w:rPr>
              <w:t>5</w:t>
            </w:r>
          </w:p>
        </w:tc>
        <w:tc>
          <w:tcPr>
            <w:tcW w:w="52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vertAlign w:val="baseline"/>
                <w:lang w:val="en-US" w:eastAsia="zh-CN"/>
              </w:rPr>
              <w:t>每提供一项增值服务的、参选律所横向对比后最优者得1分，满分5分。</w:t>
            </w:r>
          </w:p>
        </w:tc>
        <w:tc>
          <w:tcPr>
            <w:tcW w:w="105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8"/>
                <w:szCs w:val="28"/>
                <w:vertAlign w:val="baseline"/>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5OTEwZjJlM2VmNDRmZWVkMjZkNDRhM2MxZTg0NWEifQ=="/>
  </w:docVars>
  <w:rsids>
    <w:rsidRoot w:val="777B5DCB"/>
    <w:rsid w:val="777B5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34"/>
      <w:sz w:val="34"/>
      <w:lang w:val="en-US" w:eastAsia="zh-CN" w:bidi="ar-SA"/>
    </w:rPr>
  </w:style>
  <w:style w:type="character" w:default="1" w:styleId="5">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jc w:val="center"/>
    </w:pPr>
    <w:rPr>
      <w:rFonts w:eastAsia="黑体"/>
      <w:sz w:val="44"/>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Default"/>
    <w:autoRedefine/>
    <w:semiHidden/>
    <w:qFormat/>
    <w:locked/>
    <w:uiPriority w:val="0"/>
    <w:pPr>
      <w:widowControl w:val="0"/>
      <w:autoSpaceDE w:val="0"/>
      <w:autoSpaceDN w:val="0"/>
      <w:adjustRightInd w:val="0"/>
    </w:pPr>
    <w:rPr>
      <w:rFonts w:ascii="隶书" w:hAnsi="Times New Roman" w:eastAsia="隶书" w:cs="Times New Roman"/>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2024-03-29T01:37:00Z</dcterms:created>
  <dc:creator>xolovestephi</dc:creator>
  <cp:lastModifiedBy>xolovestephi</cp:lastModifiedBy>
  <dcterms:modified xsi:type="dcterms:W3CDTF">2024-03-29T01:38:16Z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45B115BA2C874B9485632DBC1D3EA229_11</vt:lpwstr>
  </property>
</Properties>
</file>